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80"/>
      </w:pPr>
    </w:p>
    <w:p>
      <w:pPr>
        <w:jc w:val="center"/>
      </w:pPr>
      <w:r>
        <w:rPr>
          <w:rFonts w:ascii="Aptos" w:hAnsi="Aptos"/>
          <w:b/>
          <w:i w:val="0"/>
          <w:color w:val="A67819"/>
          <w:sz w:val="20"/>
        </w:rPr>
        <w:t>GLOBAL MACRO &amp; INVESTMENT STRATEGY</w:t>
      </w:r>
    </w:p>
    <w:p>
      <w:pPr>
        <w:pStyle w:val="Title"/>
        <w:jc w:val="center"/>
      </w:pPr>
      <w:r>
        <w:t>Financials Regime Monitor</w:t>
      </w:r>
    </w:p>
    <w:p>
      <w:pPr>
        <w:pStyle w:val="Subtitle"/>
        <w:jc w:val="center"/>
      </w:pPr>
      <w:r>
        <w:t>Does financial-sector leadership still confirm a healthy bull market?</w:t>
      </w:r>
    </w:p>
    <w:p>
      <w:pPr>
        <w:jc w:val="center"/>
      </w:pPr>
      <w:r>
        <w:rPr>
          <w:rFonts w:ascii="Aptos" w:hAnsi="Aptos"/>
          <w:b/>
          <w:i w:val="0"/>
          <w:color w:val="5E6A73"/>
          <w:sz w:val="20"/>
        </w:rPr>
        <w:t>3–6 Month Regime Outlook  |  17 August 2026</w:t>
      </w:r>
    </w:p>
    <w:p>
      <w:pPr>
        <w:spacing w:after="560"/>
      </w:pPr>
    </w:p>
    <w:tbl>
      <w:tblPr>
        <w:tblStyle w:val="TableGrid"/>
        <w:tblW w:type="dxa" w:w="9360"/>
        <w:jc w:val="center"/>
        <w:tblLayout w:type="fixed"/>
        <w:tblLook w:firstColumn="1" w:firstRow="1" w:lastColumn="0" w:lastRow="0" w:noHBand="0" w:noVBand="1" w:val="04A0"/>
        <w:tblInd w:w="120" w:type="dxa"/>
      </w:tblPr>
      <w:tblGrid>
        <w:gridCol w:w="3120"/>
        <w:gridCol w:w="3120"/>
        <w:gridCol w:w="3120"/>
      </w:tblGrid>
      <w:tr>
        <w:tc>
          <w:tcPr>
            <w:tcW w:type="dxa" w:w="3120"/>
            <w:shd w:fill="EAF1F7"/>
            <w:tcMar>
              <w:top w:w="90" w:type="dxa"/>
              <w:start w:w="110" w:type="dxa"/>
              <w:bottom w:w="90" w:type="dxa"/>
              <w:end w:w="110" w:type="dxa"/>
            </w:tcMar>
            <w:vAlign w:val="center"/>
          </w:tcPr>
          <w:p>
            <w:pPr>
              <w:jc w:val="center"/>
            </w:pPr>
            <w:r>
              <w:rPr>
                <w:rFonts w:ascii="Aptos" w:hAnsi="Aptos"/>
                <w:b/>
                <w:i w:val="0"/>
                <w:color w:val="5E6A73"/>
                <w:sz w:val="16"/>
              </w:rPr>
              <w:t>REGIME SCORE</w:t>
              <w:br/>
            </w:r>
            <w:r>
              <w:rPr>
                <w:rFonts w:ascii="Aptos" w:hAnsi="Aptos"/>
                <w:b/>
                <w:i w:val="0"/>
                <w:color w:val="1F4E79"/>
                <w:sz w:val="32"/>
              </w:rPr>
              <w:t>72 / 100</w:t>
            </w:r>
          </w:p>
        </w:tc>
        <w:tc>
          <w:tcPr>
            <w:tcW w:type="dxa" w:w="3120"/>
            <w:shd w:fill="EAF1F7"/>
            <w:tcMar>
              <w:top w:w="90" w:type="dxa"/>
              <w:start w:w="110" w:type="dxa"/>
              <w:bottom w:w="90" w:type="dxa"/>
              <w:end w:w="110" w:type="dxa"/>
            </w:tcMar>
            <w:vAlign w:val="center"/>
          </w:tcPr>
          <w:p>
            <w:pPr>
              <w:jc w:val="center"/>
            </w:pPr>
            <w:r>
              <w:rPr>
                <w:rFonts w:ascii="Aptos" w:hAnsi="Aptos"/>
                <w:b/>
                <w:i w:val="0"/>
                <w:color w:val="5E6A73"/>
                <w:sz w:val="16"/>
              </w:rPr>
              <w:t>STANCE</w:t>
              <w:br/>
            </w:r>
            <w:r>
              <w:rPr>
                <w:rFonts w:ascii="Aptos" w:hAnsi="Aptos"/>
                <w:b/>
                <w:i w:val="0"/>
                <w:color w:val="256D45"/>
                <w:sz w:val="32"/>
              </w:rPr>
              <w:t>BULLISH</w:t>
            </w:r>
          </w:p>
        </w:tc>
        <w:tc>
          <w:tcPr>
            <w:tcW w:type="dxa" w:w="3120"/>
            <w:shd w:fill="EAF1F7"/>
            <w:tcMar>
              <w:top w:w="90" w:type="dxa"/>
              <w:start w:w="110" w:type="dxa"/>
              <w:bottom w:w="90" w:type="dxa"/>
              <w:end w:w="110" w:type="dxa"/>
            </w:tcMar>
            <w:vAlign w:val="center"/>
          </w:tcPr>
          <w:p>
            <w:pPr>
              <w:jc w:val="center"/>
            </w:pPr>
            <w:r>
              <w:rPr>
                <w:rFonts w:ascii="Aptos" w:hAnsi="Aptos"/>
                <w:b/>
                <w:i w:val="0"/>
                <w:color w:val="5E6A73"/>
                <w:sz w:val="16"/>
              </w:rPr>
              <w:t>CONFIDENCE</w:t>
              <w:br/>
            </w:r>
            <w:r>
              <w:rPr>
                <w:rFonts w:ascii="Aptos" w:hAnsi="Aptos"/>
                <w:b/>
                <w:i w:val="0"/>
                <w:color w:val="A67819"/>
                <w:sz w:val="32"/>
              </w:rPr>
              <w:t>MEDIUM</w:t>
            </w:r>
          </w:p>
        </w:tc>
      </w:tr>
    </w:tbl>
    <w:p>
      <w:pPr>
        <w:spacing w:after="600"/>
      </w:pPr>
    </w:p>
    <w:p>
      <w:pPr>
        <w:jc w:val="center"/>
      </w:pPr>
      <w:r>
        <w:rPr>
          <w:rFonts w:ascii="Aptos" w:hAnsi="Aptos"/>
          <w:b w:val="0"/>
          <w:i/>
          <w:color w:val="5E6A73"/>
          <w:sz w:val="18"/>
        </w:rPr>
        <w:t>Prepared from US Treasury, Federal Reserve, FDIC, rating-agency, market and company-reported data.</w:t>
      </w:r>
    </w:p>
    <w:p>
      <w:r>
        <w:br w:type="page"/>
      </w:r>
    </w:p>
    <w:p>
      <w:pPr>
        <w:pStyle w:val="Heading1"/>
      </w:pPr>
      <w:r>
        <w:t>Executive Summary</w:t>
      </w:r>
    </w:p>
    <w:p>
      <w:r>
        <w:rPr>
          <w:rFonts w:ascii="Aptos" w:hAnsi="Aptos"/>
          <w:b w:val="0"/>
          <w:i w:val="0"/>
          <w:color w:val="222222"/>
          <w:sz w:val="21"/>
        </w:rPr>
        <w:t>Financials continue to confirm the bull market, but the confirmation is no longer unequivocal. The sector’s fundamental foundation has strengthened: C&amp;I lending is growing about 8% year over year, major-bank loan books expanded broadly, net interest income improved, capital-markets revenues accelerated, and credit losses remained contained. Regional banks have recently outperformed diversified financials—an important improvement because the rally is no longer confined to money-center banks.</w:t>
      </w:r>
    </w:p>
    <w:p>
      <w:r>
        <w:rPr>
          <w:rFonts w:ascii="Aptos" w:hAnsi="Aptos"/>
          <w:b w:val="0"/>
          <w:i w:val="0"/>
          <w:color w:val="222222"/>
          <w:sz w:val="21"/>
        </w:rPr>
        <w:t>The yield curve has steepened, with 2Y–10Y near +45 bp and 3M–10Y around +90 bp. However, this is principally a long-end, inflation/fiscal-risk steepening, not an unambiguously benign growth signal. It supports bank margins but raises mortgage, CRE-refinancing and valuation risk.</w:t>
      </w:r>
    </w:p>
    <w:p>
      <w:r>
        <w:rPr>
          <w:rFonts w:ascii="Aptos" w:hAnsi="Aptos"/>
          <w:b w:val="0"/>
          <w:i w:val="0"/>
          <w:color w:val="222222"/>
          <w:sz w:val="21"/>
        </w:rPr>
        <w:t>The thesis has strengthened modestly, chiefly because credit creation and earnings breadth improved. Offsetting this, the April SLOOS still showed modest C&amp;I tightening, speculative-grade spreads are unusually compressed, and office/multifamily CMBS stress remains severe. Financial markets are pricing a cleaner outcome than bank-lending and property data justify.</w:t>
      </w:r>
    </w:p>
    <w:p>
      <w:r>
        <w:rPr>
          <w:rFonts w:ascii="Aptos" w:hAnsi="Aptos"/>
          <w:b w:val="0"/>
          <w:i w:val="0"/>
          <w:color w:val="222222"/>
          <w:sz w:val="21"/>
        </w:rPr>
        <w:t>Over 3–6 months, the principal risks are renewed inflation and higher long yields, abrupt HY spread normalization, weakening consumer credit, a CRE refinancing accident, and geopolitical or trade shocks. Portfolio implication: remain overweight high-quality diversified banks, insurers and exchanges; use more caution in leveraged regional banks, lower-quality credit and long-duration equities.</w:t>
      </w:r>
    </w:p>
    <w:tbl>
      <w:tblPr>
        <w:tblStyle w:val="TableGrid"/>
        <w:tblW w:type="dxa" w:w="9360"/>
        <w:jc w:val="left"/>
        <w:tblLayout w:type="fixed"/>
        <w:tblLook w:firstColumn="1" w:firstRow="1" w:lastColumn="0" w:lastRow="0" w:noHBand="0" w:noVBand="1" w:val="04A0"/>
        <w:tblInd w:w="120" w:type="dxa"/>
      </w:tblPr>
      <w:tblGrid>
        <w:gridCol w:w="2200"/>
        <w:gridCol w:w="7160"/>
      </w:tblGrid>
      <w:tr>
        <w:tc>
          <w:tcPr>
            <w:tcW w:type="dxa" w:w="2200"/>
            <w:shd w:fill="1F4E79"/>
            <w:tcMar>
              <w:top w:w="90" w:type="dxa"/>
              <w:start w:w="110" w:type="dxa"/>
              <w:bottom w:w="90" w:type="dxa"/>
              <w:end w:w="110" w:type="dxa"/>
            </w:tcMar>
            <w:vAlign w:val="center"/>
          </w:tcPr>
          <w:p>
            <w:pPr>
              <w:jc w:val="left"/>
            </w:pPr>
            <w:r>
              <w:rPr>
                <w:rFonts w:ascii="Aptos" w:hAnsi="Aptos"/>
                <w:b/>
                <w:i w:val="0"/>
                <w:color w:val="FFFFFF"/>
                <w:sz w:val="20"/>
              </w:rPr>
              <w:t>Conclusion</w:t>
            </w:r>
          </w:p>
        </w:tc>
        <w:tc>
          <w:tcPr>
            <w:tcW w:type="dxa" w:w="7160"/>
            <w:shd w:fill="1F4E79"/>
            <w:tcMar>
              <w:top w:w="90" w:type="dxa"/>
              <w:start w:w="110" w:type="dxa"/>
              <w:bottom w:w="90" w:type="dxa"/>
              <w:end w:w="110" w:type="dxa"/>
            </w:tcMar>
            <w:vAlign w:val="center"/>
          </w:tcPr>
          <w:p>
            <w:pPr>
              <w:jc w:val="left"/>
            </w:pPr>
            <w:r>
              <w:rPr>
                <w:rFonts w:ascii="Aptos" w:hAnsi="Aptos"/>
                <w:b/>
                <w:i w:val="0"/>
                <w:color w:val="FFFFFF"/>
                <w:sz w:val="20"/>
              </w:rPr>
              <w:t>Assessment</w:t>
            </w:r>
          </w:p>
        </w:tc>
      </w:tr>
      <w:tr>
        <w:tc>
          <w:tcPr>
            <w:tcW w:type="dxa" w:w="2200"/>
            <w:tcMar>
              <w:top w:w="90" w:type="dxa"/>
              <w:start w:w="110" w:type="dxa"/>
              <w:bottom w:w="90" w:type="dxa"/>
              <w:end w:w="110" w:type="dxa"/>
            </w:tcMar>
            <w:vAlign w:val="center"/>
          </w:tcPr>
          <w:p>
            <w:pPr>
              <w:spacing w:after="0"/>
            </w:pPr>
            <w:r>
              <w:rPr>
                <w:rFonts w:ascii="Aptos" w:hAnsi="Aptos"/>
                <w:b w:val="0"/>
                <w:i w:val="0"/>
                <w:color w:val="222222"/>
                <w:sz w:val="20"/>
              </w:rPr>
              <w:t>Regime score</w:t>
            </w:r>
          </w:p>
        </w:tc>
        <w:tc>
          <w:tcPr>
            <w:tcW w:type="dxa" w:w="7160"/>
            <w:tcMar>
              <w:top w:w="90" w:type="dxa"/>
              <w:start w:w="110" w:type="dxa"/>
              <w:bottom w:w="90" w:type="dxa"/>
              <w:end w:w="110" w:type="dxa"/>
            </w:tcMar>
            <w:vAlign w:val="center"/>
          </w:tcPr>
          <w:p>
            <w:pPr>
              <w:spacing w:after="0"/>
            </w:pPr>
            <w:r>
              <w:rPr>
                <w:rFonts w:ascii="Aptos" w:hAnsi="Aptos"/>
                <w:b w:val="0"/>
                <w:i w:val="0"/>
                <w:color w:val="222222"/>
                <w:sz w:val="20"/>
              </w:rPr>
              <w:t>72/100</w:t>
            </w:r>
          </w:p>
        </w:tc>
      </w:tr>
      <w:tr>
        <w:tc>
          <w:tcPr>
            <w:tcW w:type="dxa" w:w="2200"/>
            <w:shd w:fill="F4F6F8"/>
            <w:tcMar>
              <w:top w:w="90" w:type="dxa"/>
              <w:start w:w="110" w:type="dxa"/>
              <w:bottom w:w="90" w:type="dxa"/>
              <w:end w:w="110" w:type="dxa"/>
            </w:tcMar>
            <w:vAlign w:val="center"/>
          </w:tcPr>
          <w:p>
            <w:pPr>
              <w:spacing w:after="0"/>
            </w:pPr>
            <w:r>
              <w:rPr>
                <w:rFonts w:ascii="Aptos" w:hAnsi="Aptos"/>
                <w:b w:val="0"/>
                <w:i w:val="0"/>
                <w:color w:val="222222"/>
                <w:sz w:val="20"/>
              </w:rPr>
              <w:t>Regime</w:t>
            </w:r>
          </w:p>
        </w:tc>
        <w:tc>
          <w:tcPr>
            <w:tcW w:type="dxa" w:w="7160"/>
            <w:shd w:fill="F4F6F8"/>
            <w:tcMar>
              <w:top w:w="90" w:type="dxa"/>
              <w:start w:w="110" w:type="dxa"/>
              <w:bottom w:w="90" w:type="dxa"/>
              <w:end w:w="110" w:type="dxa"/>
            </w:tcMar>
            <w:vAlign w:val="center"/>
          </w:tcPr>
          <w:p>
            <w:pPr>
              <w:spacing w:after="0"/>
            </w:pPr>
            <w:r>
              <w:rPr>
                <w:rFonts w:ascii="Aptos" w:hAnsi="Aptos"/>
                <w:b w:val="0"/>
                <w:i w:val="0"/>
                <w:color w:val="222222"/>
                <w:sz w:val="20"/>
              </w:rPr>
              <w:t>Bullish</w:t>
            </w:r>
          </w:p>
        </w:tc>
      </w:tr>
      <w:tr>
        <w:tc>
          <w:tcPr>
            <w:tcW w:type="dxa" w:w="2200"/>
            <w:tcMar>
              <w:top w:w="90" w:type="dxa"/>
              <w:start w:w="110" w:type="dxa"/>
              <w:bottom w:w="90" w:type="dxa"/>
              <w:end w:w="110" w:type="dxa"/>
            </w:tcMar>
            <w:vAlign w:val="center"/>
          </w:tcPr>
          <w:p>
            <w:pPr>
              <w:spacing w:after="0"/>
            </w:pPr>
            <w:r>
              <w:rPr>
                <w:rFonts w:ascii="Aptos" w:hAnsi="Aptos"/>
                <w:b w:val="0"/>
                <w:i w:val="0"/>
                <w:color w:val="222222"/>
                <w:sz w:val="20"/>
              </w:rPr>
              <w:t>Confidence</w:t>
            </w:r>
          </w:p>
        </w:tc>
        <w:tc>
          <w:tcPr>
            <w:tcW w:type="dxa" w:w="7160"/>
            <w:tcMar>
              <w:top w:w="90" w:type="dxa"/>
              <w:start w:w="110" w:type="dxa"/>
              <w:bottom w:w="90" w:type="dxa"/>
              <w:end w:w="110" w:type="dxa"/>
            </w:tcMar>
            <w:vAlign w:val="center"/>
          </w:tcPr>
          <w:p>
            <w:pPr>
              <w:spacing w:after="0"/>
            </w:pPr>
            <w:r>
              <w:rPr>
                <w:rFonts w:ascii="Aptos" w:hAnsi="Aptos"/>
                <w:b w:val="0"/>
                <w:i w:val="0"/>
                <w:color w:val="222222"/>
                <w:sz w:val="20"/>
              </w:rPr>
              <w:t>Medium</w:t>
            </w:r>
          </w:p>
        </w:tc>
      </w:tr>
    </w:tbl>
    <w:p>
      <w:pPr>
        <w:spacing w:after="20"/>
      </w:pPr>
    </w:p>
    <w:p>
      <w:r>
        <w:rPr>
          <w:rFonts w:ascii="Aptos" w:hAnsi="Aptos"/>
          <w:b w:val="0"/>
          <w:i w:val="0"/>
          <w:color w:val="222222"/>
          <w:sz w:val="21"/>
        </w:rPr>
        <w:t>Comparison convention: because no earlier report was supplied, “previous” means approximately three months earlier, or the preceding survey/quarter. This document establishes the baseline for future updates.</w:t>
      </w:r>
    </w:p>
    <w:p>
      <w:pPr>
        <w:pStyle w:val="Heading1"/>
      </w:pPr>
      <w:r>
        <w:t>1. Yield Curve Analysis</w:t>
      </w:r>
    </w:p>
    <w:tbl>
      <w:tblPr>
        <w:tblStyle w:val="TableGrid"/>
        <w:tblW w:type="dxa" w:w="9360"/>
        <w:jc w:val="left"/>
        <w:tblLayout w:type="fixed"/>
        <w:tblLook w:firstColumn="1" w:firstRow="1" w:lastColumn="0" w:lastRow="0" w:noHBand="0" w:noVBand="1" w:val="04A0"/>
        <w:tblInd w:w="120" w:type="dxa"/>
      </w:tblPr>
      <w:tblGrid>
        <w:gridCol w:w="2500"/>
        <w:gridCol w:w="1800"/>
        <w:gridCol w:w="2600"/>
        <w:gridCol w:w="2460"/>
      </w:tblGrid>
      <w:tr>
        <w:tc>
          <w:tcPr>
            <w:tcW w:type="dxa" w:w="2500"/>
            <w:shd w:fill="1F4E79"/>
            <w:tcMar>
              <w:top w:w="90" w:type="dxa"/>
              <w:start w:w="110" w:type="dxa"/>
              <w:bottom w:w="90" w:type="dxa"/>
              <w:end w:w="110" w:type="dxa"/>
            </w:tcMar>
            <w:vAlign w:val="center"/>
          </w:tcPr>
          <w:p>
            <w:pPr>
              <w:jc w:val="left"/>
            </w:pPr>
            <w:r>
              <w:rPr>
                <w:rFonts w:ascii="Aptos" w:hAnsi="Aptos"/>
                <w:b/>
                <w:i w:val="0"/>
                <w:color w:val="FFFFFF"/>
                <w:sz w:val="17"/>
              </w:rPr>
              <w:t>Measure</w:t>
            </w:r>
          </w:p>
        </w:tc>
        <w:tc>
          <w:tcPr>
            <w:tcW w:type="dxa" w:w="1800"/>
            <w:shd w:fill="1F4E79"/>
            <w:tcMar>
              <w:top w:w="90" w:type="dxa"/>
              <w:start w:w="110" w:type="dxa"/>
              <w:bottom w:w="90" w:type="dxa"/>
              <w:end w:w="110" w:type="dxa"/>
            </w:tcMar>
            <w:vAlign w:val="center"/>
          </w:tcPr>
          <w:p>
            <w:pPr>
              <w:jc w:val="left"/>
            </w:pPr>
            <w:r>
              <w:rPr>
                <w:rFonts w:ascii="Aptos" w:hAnsi="Aptos"/>
                <w:b/>
                <w:i w:val="0"/>
                <w:color w:val="FFFFFF"/>
                <w:sz w:val="17"/>
              </w:rPr>
              <w:t>Current</w:t>
            </w:r>
          </w:p>
        </w:tc>
        <w:tc>
          <w:tcPr>
            <w:tcW w:type="dxa" w:w="2600"/>
            <w:shd w:fill="1F4E79"/>
            <w:tcMar>
              <w:top w:w="90" w:type="dxa"/>
              <w:start w:w="110" w:type="dxa"/>
              <w:bottom w:w="90" w:type="dxa"/>
              <w:end w:w="110" w:type="dxa"/>
            </w:tcMar>
            <w:vAlign w:val="center"/>
          </w:tcPr>
          <w:p>
            <w:pPr>
              <w:jc w:val="left"/>
            </w:pPr>
            <w:r>
              <w:rPr>
                <w:rFonts w:ascii="Aptos" w:hAnsi="Aptos"/>
                <w:b/>
                <w:i w:val="0"/>
                <w:color w:val="FFFFFF"/>
                <w:sz w:val="17"/>
              </w:rPr>
              <w:t>~3 months earlier</w:t>
            </w:r>
          </w:p>
        </w:tc>
        <w:tc>
          <w:tcPr>
            <w:tcW w:type="dxa" w:w="2460"/>
            <w:shd w:fill="1F4E79"/>
            <w:tcMar>
              <w:top w:w="90" w:type="dxa"/>
              <w:start w:w="110" w:type="dxa"/>
              <w:bottom w:w="90" w:type="dxa"/>
              <w:end w:w="110" w:type="dxa"/>
            </w:tcMar>
            <w:vAlign w:val="center"/>
          </w:tcPr>
          <w:p>
            <w:pPr>
              <w:jc w:val="left"/>
            </w:pPr>
            <w:r>
              <w:rPr>
                <w:rFonts w:ascii="Aptos" w:hAnsi="Aptos"/>
                <w:b/>
                <w:i w:val="0"/>
                <w:color w:val="FFFFFF"/>
                <w:sz w:val="17"/>
              </w:rPr>
              <w:t>Change</w:t>
            </w:r>
          </w:p>
        </w:tc>
      </w:tr>
      <w:tr>
        <w:tc>
          <w:tcPr>
            <w:tcW w:type="dxa" w:w="2500"/>
            <w:tcMar>
              <w:top w:w="90" w:type="dxa"/>
              <w:start w:w="110" w:type="dxa"/>
              <w:bottom w:w="90" w:type="dxa"/>
              <w:end w:w="110" w:type="dxa"/>
            </w:tcMar>
            <w:vAlign w:val="center"/>
          </w:tcPr>
          <w:p>
            <w:pPr>
              <w:spacing w:after="0"/>
            </w:pPr>
            <w:r>
              <w:rPr>
                <w:rFonts w:ascii="Aptos" w:hAnsi="Aptos"/>
                <w:b w:val="0"/>
                <w:i w:val="0"/>
                <w:color w:val="222222"/>
                <w:sz w:val="17"/>
              </w:rPr>
              <w:t>US 2Y</w:t>
            </w:r>
          </w:p>
        </w:tc>
        <w:tc>
          <w:tcPr>
            <w:tcW w:type="dxa" w:w="1800"/>
            <w:tcMar>
              <w:top w:w="90" w:type="dxa"/>
              <w:start w:w="110" w:type="dxa"/>
              <w:bottom w:w="90" w:type="dxa"/>
              <w:end w:w="110" w:type="dxa"/>
            </w:tcMar>
            <w:vAlign w:val="center"/>
          </w:tcPr>
          <w:p>
            <w:pPr>
              <w:spacing w:after="0"/>
            </w:pPr>
            <w:r>
              <w:rPr>
                <w:rFonts w:ascii="Aptos" w:hAnsi="Aptos"/>
                <w:b w:val="0"/>
                <w:i w:val="0"/>
                <w:color w:val="222222"/>
                <w:sz w:val="17"/>
              </w:rPr>
              <w:t>~4.23%</w:t>
            </w:r>
          </w:p>
        </w:tc>
        <w:tc>
          <w:tcPr>
            <w:tcW w:type="dxa" w:w="2600"/>
            <w:tcMar>
              <w:top w:w="90" w:type="dxa"/>
              <w:start w:w="110" w:type="dxa"/>
              <w:bottom w:w="90" w:type="dxa"/>
              <w:end w:w="110" w:type="dxa"/>
            </w:tcMar>
            <w:vAlign w:val="center"/>
          </w:tcPr>
          <w:p>
            <w:pPr>
              <w:spacing w:after="0"/>
            </w:pPr>
            <w:r>
              <w:rPr>
                <w:rFonts w:ascii="Aptos" w:hAnsi="Aptos"/>
                <w:b w:val="0"/>
                <w:i w:val="0"/>
                <w:color w:val="222222"/>
                <w:sz w:val="17"/>
              </w:rPr>
              <w:t>~4.05%</w:t>
            </w:r>
          </w:p>
        </w:tc>
        <w:tc>
          <w:tcPr>
            <w:tcW w:type="dxa" w:w="2460"/>
            <w:tcMar>
              <w:top w:w="90" w:type="dxa"/>
              <w:start w:w="110" w:type="dxa"/>
              <w:bottom w:w="90" w:type="dxa"/>
              <w:end w:w="110" w:type="dxa"/>
            </w:tcMar>
            <w:vAlign w:val="center"/>
          </w:tcPr>
          <w:p>
            <w:pPr>
              <w:spacing w:after="0"/>
            </w:pPr>
            <w:r>
              <w:rPr>
                <w:rFonts w:ascii="Aptos" w:hAnsi="Aptos"/>
                <w:b w:val="0"/>
                <w:i w:val="0"/>
                <w:color w:val="222222"/>
                <w:sz w:val="17"/>
              </w:rPr>
              <w:t>+18 bp</w:t>
            </w:r>
          </w:p>
        </w:tc>
      </w:tr>
      <w:tr>
        <w:tc>
          <w:tcPr>
            <w:tcW w:type="dxa" w:w="2500"/>
            <w:shd w:fill="F4F6F8"/>
            <w:tcMar>
              <w:top w:w="90" w:type="dxa"/>
              <w:start w:w="110" w:type="dxa"/>
              <w:bottom w:w="90" w:type="dxa"/>
              <w:end w:w="110" w:type="dxa"/>
            </w:tcMar>
            <w:vAlign w:val="center"/>
          </w:tcPr>
          <w:p>
            <w:pPr>
              <w:spacing w:after="0"/>
            </w:pPr>
            <w:r>
              <w:rPr>
                <w:rFonts w:ascii="Aptos" w:hAnsi="Aptos"/>
                <w:b w:val="0"/>
                <w:i w:val="0"/>
                <w:color w:val="222222"/>
                <w:sz w:val="17"/>
              </w:rPr>
              <w:t>US 10Y</w:t>
            </w:r>
          </w:p>
        </w:tc>
        <w:tc>
          <w:tcPr>
            <w:tcW w:type="dxa" w:w="1800"/>
            <w:shd w:fill="F4F6F8"/>
            <w:tcMar>
              <w:top w:w="90" w:type="dxa"/>
              <w:start w:w="110" w:type="dxa"/>
              <w:bottom w:w="90" w:type="dxa"/>
              <w:end w:w="110" w:type="dxa"/>
            </w:tcMar>
            <w:vAlign w:val="center"/>
          </w:tcPr>
          <w:p>
            <w:pPr>
              <w:spacing w:after="0"/>
            </w:pPr>
            <w:r>
              <w:rPr>
                <w:rFonts w:ascii="Aptos" w:hAnsi="Aptos"/>
                <w:b w:val="0"/>
                <w:i w:val="0"/>
                <w:color w:val="222222"/>
                <w:sz w:val="17"/>
              </w:rPr>
              <w:t>~4.68%</w:t>
            </w:r>
          </w:p>
        </w:tc>
        <w:tc>
          <w:tcPr>
            <w:tcW w:type="dxa" w:w="2600"/>
            <w:shd w:fill="F4F6F8"/>
            <w:tcMar>
              <w:top w:w="90" w:type="dxa"/>
              <w:start w:w="110" w:type="dxa"/>
              <w:bottom w:w="90" w:type="dxa"/>
              <w:end w:w="110" w:type="dxa"/>
            </w:tcMar>
            <w:vAlign w:val="center"/>
          </w:tcPr>
          <w:p>
            <w:pPr>
              <w:spacing w:after="0"/>
            </w:pPr>
            <w:r>
              <w:rPr>
                <w:rFonts w:ascii="Aptos" w:hAnsi="Aptos"/>
                <w:b w:val="0"/>
                <w:i w:val="0"/>
                <w:color w:val="222222"/>
                <w:sz w:val="17"/>
              </w:rPr>
              <w:t>~4.42%</w:t>
            </w:r>
          </w:p>
        </w:tc>
        <w:tc>
          <w:tcPr>
            <w:tcW w:type="dxa" w:w="2460"/>
            <w:shd w:fill="F4F6F8"/>
            <w:tcMar>
              <w:top w:w="90" w:type="dxa"/>
              <w:start w:w="110" w:type="dxa"/>
              <w:bottom w:w="90" w:type="dxa"/>
              <w:end w:w="110" w:type="dxa"/>
            </w:tcMar>
            <w:vAlign w:val="center"/>
          </w:tcPr>
          <w:p>
            <w:pPr>
              <w:spacing w:after="0"/>
            </w:pPr>
            <w:r>
              <w:rPr>
                <w:rFonts w:ascii="Aptos" w:hAnsi="Aptos"/>
                <w:b w:val="0"/>
                <w:i w:val="0"/>
                <w:color w:val="222222"/>
                <w:sz w:val="17"/>
              </w:rPr>
              <w:t>+26 bp</w:t>
            </w:r>
          </w:p>
        </w:tc>
      </w:tr>
      <w:tr>
        <w:tc>
          <w:tcPr>
            <w:tcW w:type="dxa" w:w="2500"/>
            <w:tcMar>
              <w:top w:w="90" w:type="dxa"/>
              <w:start w:w="110" w:type="dxa"/>
              <w:bottom w:w="90" w:type="dxa"/>
              <w:end w:w="110" w:type="dxa"/>
            </w:tcMar>
            <w:vAlign w:val="center"/>
          </w:tcPr>
          <w:p>
            <w:pPr>
              <w:spacing w:after="0"/>
            </w:pPr>
            <w:r>
              <w:rPr>
                <w:rFonts w:ascii="Aptos" w:hAnsi="Aptos"/>
                <w:b w:val="0"/>
                <w:i w:val="0"/>
                <w:color w:val="222222"/>
                <w:sz w:val="17"/>
              </w:rPr>
              <w:t>2Y–10Y</w:t>
            </w:r>
          </w:p>
        </w:tc>
        <w:tc>
          <w:tcPr>
            <w:tcW w:type="dxa" w:w="1800"/>
            <w:tcMar>
              <w:top w:w="90" w:type="dxa"/>
              <w:start w:w="110" w:type="dxa"/>
              <w:bottom w:w="90" w:type="dxa"/>
              <w:end w:w="110" w:type="dxa"/>
            </w:tcMar>
            <w:vAlign w:val="center"/>
          </w:tcPr>
          <w:p>
            <w:pPr>
              <w:spacing w:after="0"/>
            </w:pPr>
            <w:r>
              <w:rPr>
                <w:rFonts w:ascii="Aptos" w:hAnsi="Aptos"/>
                <w:b w:val="0"/>
                <w:i w:val="0"/>
                <w:color w:val="222222"/>
                <w:sz w:val="17"/>
              </w:rPr>
              <w:t>+45 bp</w:t>
            </w:r>
          </w:p>
        </w:tc>
        <w:tc>
          <w:tcPr>
            <w:tcW w:type="dxa" w:w="2600"/>
            <w:tcMar>
              <w:top w:w="90" w:type="dxa"/>
              <w:start w:w="110" w:type="dxa"/>
              <w:bottom w:w="90" w:type="dxa"/>
              <w:end w:w="110" w:type="dxa"/>
            </w:tcMar>
            <w:vAlign w:val="center"/>
          </w:tcPr>
          <w:p>
            <w:pPr>
              <w:spacing w:after="0"/>
            </w:pPr>
            <w:r>
              <w:rPr>
                <w:rFonts w:ascii="Aptos" w:hAnsi="Aptos"/>
                <w:b w:val="0"/>
                <w:i w:val="0"/>
                <w:color w:val="222222"/>
                <w:sz w:val="17"/>
              </w:rPr>
              <w:t>~+37 bp</w:t>
            </w:r>
          </w:p>
        </w:tc>
        <w:tc>
          <w:tcPr>
            <w:tcW w:type="dxa" w:w="2460"/>
            <w:tcMar>
              <w:top w:w="90" w:type="dxa"/>
              <w:start w:w="110" w:type="dxa"/>
              <w:bottom w:w="90" w:type="dxa"/>
              <w:end w:w="110" w:type="dxa"/>
            </w:tcMar>
            <w:vAlign w:val="center"/>
          </w:tcPr>
          <w:p>
            <w:pPr>
              <w:spacing w:after="0"/>
            </w:pPr>
            <w:r>
              <w:rPr>
                <w:rFonts w:ascii="Aptos" w:hAnsi="Aptos"/>
                <w:b w:val="0"/>
                <w:i w:val="0"/>
                <w:color w:val="222222"/>
                <w:sz w:val="17"/>
              </w:rPr>
              <w:t>Steeper</w:t>
            </w:r>
          </w:p>
        </w:tc>
      </w:tr>
      <w:tr>
        <w:tc>
          <w:tcPr>
            <w:tcW w:type="dxa" w:w="2500"/>
            <w:shd w:fill="F4F6F8"/>
            <w:tcMar>
              <w:top w:w="90" w:type="dxa"/>
              <w:start w:w="110" w:type="dxa"/>
              <w:bottom w:w="90" w:type="dxa"/>
              <w:end w:w="110" w:type="dxa"/>
            </w:tcMar>
            <w:vAlign w:val="center"/>
          </w:tcPr>
          <w:p>
            <w:pPr>
              <w:spacing w:after="0"/>
            </w:pPr>
            <w:r>
              <w:rPr>
                <w:rFonts w:ascii="Aptos" w:hAnsi="Aptos"/>
                <w:b w:val="0"/>
                <w:i w:val="0"/>
                <w:color w:val="222222"/>
                <w:sz w:val="17"/>
              </w:rPr>
              <w:t>US 3M</w:t>
            </w:r>
          </w:p>
        </w:tc>
        <w:tc>
          <w:tcPr>
            <w:tcW w:type="dxa" w:w="1800"/>
            <w:shd w:fill="F4F6F8"/>
            <w:tcMar>
              <w:top w:w="90" w:type="dxa"/>
              <w:start w:w="110" w:type="dxa"/>
              <w:bottom w:w="90" w:type="dxa"/>
              <w:end w:w="110" w:type="dxa"/>
            </w:tcMar>
            <w:vAlign w:val="center"/>
          </w:tcPr>
          <w:p>
            <w:pPr>
              <w:spacing w:after="0"/>
            </w:pPr>
            <w:r>
              <w:rPr>
                <w:rFonts w:ascii="Aptos" w:hAnsi="Aptos"/>
                <w:b w:val="0"/>
                <w:i w:val="0"/>
                <w:color w:val="222222"/>
                <w:sz w:val="17"/>
              </w:rPr>
              <w:t>~3.78%</w:t>
            </w:r>
          </w:p>
        </w:tc>
        <w:tc>
          <w:tcPr>
            <w:tcW w:type="dxa" w:w="2600"/>
            <w:shd w:fill="F4F6F8"/>
            <w:tcMar>
              <w:top w:w="90" w:type="dxa"/>
              <w:start w:w="110" w:type="dxa"/>
              <w:bottom w:w="90" w:type="dxa"/>
              <w:end w:w="110" w:type="dxa"/>
            </w:tcMar>
            <w:vAlign w:val="center"/>
          </w:tcPr>
          <w:p>
            <w:pPr>
              <w:spacing w:after="0"/>
            </w:pPr>
            <w:r>
              <w:rPr>
                <w:rFonts w:ascii="Aptos" w:hAnsi="Aptos"/>
                <w:b w:val="0"/>
                <w:i w:val="0"/>
                <w:color w:val="222222"/>
                <w:sz w:val="17"/>
              </w:rPr>
              <w:t>~3.74%</w:t>
            </w:r>
          </w:p>
        </w:tc>
        <w:tc>
          <w:tcPr>
            <w:tcW w:type="dxa" w:w="2460"/>
            <w:shd w:fill="F4F6F8"/>
            <w:tcMar>
              <w:top w:w="90" w:type="dxa"/>
              <w:start w:w="110" w:type="dxa"/>
              <w:bottom w:w="90" w:type="dxa"/>
              <w:end w:w="110" w:type="dxa"/>
            </w:tcMar>
            <w:vAlign w:val="center"/>
          </w:tcPr>
          <w:p>
            <w:pPr>
              <w:spacing w:after="0"/>
            </w:pPr>
            <w:r>
              <w:rPr>
                <w:rFonts w:ascii="Aptos" w:hAnsi="Aptos"/>
                <w:b w:val="0"/>
                <w:i w:val="0"/>
                <w:color w:val="222222"/>
                <w:sz w:val="17"/>
              </w:rPr>
              <w:t>+4 bp</w:t>
            </w:r>
          </w:p>
        </w:tc>
      </w:tr>
      <w:tr>
        <w:tc>
          <w:tcPr>
            <w:tcW w:type="dxa" w:w="2500"/>
            <w:tcMar>
              <w:top w:w="90" w:type="dxa"/>
              <w:start w:w="110" w:type="dxa"/>
              <w:bottom w:w="90" w:type="dxa"/>
              <w:end w:w="110" w:type="dxa"/>
            </w:tcMar>
            <w:vAlign w:val="center"/>
          </w:tcPr>
          <w:p>
            <w:pPr>
              <w:spacing w:after="0"/>
            </w:pPr>
            <w:r>
              <w:rPr>
                <w:rFonts w:ascii="Aptos" w:hAnsi="Aptos"/>
                <w:b w:val="0"/>
                <w:i w:val="0"/>
                <w:color w:val="222222"/>
                <w:sz w:val="17"/>
              </w:rPr>
              <w:t>3M–10Y</w:t>
            </w:r>
          </w:p>
        </w:tc>
        <w:tc>
          <w:tcPr>
            <w:tcW w:type="dxa" w:w="1800"/>
            <w:tcMar>
              <w:top w:w="90" w:type="dxa"/>
              <w:start w:w="110" w:type="dxa"/>
              <w:bottom w:w="90" w:type="dxa"/>
              <w:end w:w="110" w:type="dxa"/>
            </w:tcMar>
            <w:vAlign w:val="center"/>
          </w:tcPr>
          <w:p>
            <w:pPr>
              <w:spacing w:after="0"/>
            </w:pPr>
            <w:r>
              <w:rPr>
                <w:rFonts w:ascii="Aptos" w:hAnsi="Aptos"/>
                <w:b w:val="0"/>
                <w:i w:val="0"/>
                <w:color w:val="222222"/>
                <w:sz w:val="17"/>
              </w:rPr>
              <w:t>+90 bp</w:t>
            </w:r>
          </w:p>
        </w:tc>
        <w:tc>
          <w:tcPr>
            <w:tcW w:type="dxa" w:w="2600"/>
            <w:tcMar>
              <w:top w:w="90" w:type="dxa"/>
              <w:start w:w="110" w:type="dxa"/>
              <w:bottom w:w="90" w:type="dxa"/>
              <w:end w:w="110" w:type="dxa"/>
            </w:tcMar>
            <w:vAlign w:val="center"/>
          </w:tcPr>
          <w:p>
            <w:pPr>
              <w:spacing w:after="0"/>
            </w:pPr>
            <w:r>
              <w:rPr>
                <w:rFonts w:ascii="Aptos" w:hAnsi="Aptos"/>
                <w:b w:val="0"/>
                <w:i w:val="0"/>
                <w:color w:val="222222"/>
                <w:sz w:val="17"/>
              </w:rPr>
              <w:t>~+68 bp</w:t>
            </w:r>
          </w:p>
        </w:tc>
        <w:tc>
          <w:tcPr>
            <w:tcW w:type="dxa" w:w="2460"/>
            <w:tcMar>
              <w:top w:w="90" w:type="dxa"/>
              <w:start w:w="110" w:type="dxa"/>
              <w:bottom w:w="90" w:type="dxa"/>
              <w:end w:w="110" w:type="dxa"/>
            </w:tcMar>
            <w:vAlign w:val="center"/>
          </w:tcPr>
          <w:p>
            <w:pPr>
              <w:spacing w:after="0"/>
            </w:pPr>
            <w:r>
              <w:rPr>
                <w:rFonts w:ascii="Aptos" w:hAnsi="Aptos"/>
                <w:b w:val="0"/>
                <w:i w:val="0"/>
                <w:color w:val="222222"/>
                <w:sz w:val="17"/>
              </w:rPr>
              <w:t>Steeper</w:t>
            </w:r>
          </w:p>
        </w:tc>
      </w:tr>
    </w:tbl>
    <w:p>
      <w:pPr>
        <w:spacing w:after="20"/>
      </w:pPr>
    </w:p>
    <w:p>
      <w:pPr>
        <w:pStyle w:val="Heading2"/>
      </w:pPr>
      <w:r>
        <w:t>Interpretation</w:t>
      </w:r>
    </w:p>
    <w:p>
      <w:r>
        <w:rPr>
          <w:rFonts w:ascii="Aptos" w:hAnsi="Aptos"/>
          <w:b w:val="0"/>
          <w:i w:val="0"/>
          <w:color w:val="222222"/>
          <w:sz w:val="21"/>
        </w:rPr>
        <w:t>This is a bear steepening: the 10Y rose more than the 2Y. It is not the classic recessionary bull steepening produced by aggressive cuts in short rates. The move likely reflects resilient nominal growth, persistent inflation, a higher fiscal/term premium and reduced confidence that policy rates can fall materially.</w:t>
      </w:r>
    </w:p>
    <w:p>
      <w:r>
        <w:rPr>
          <w:rFonts w:ascii="Aptos" w:hAnsi="Aptos"/>
          <w:b/>
          <w:i w:val="0"/>
          <w:color w:val="222222"/>
          <w:sz w:val="21"/>
        </w:rPr>
        <w:t xml:space="preserve">Bank profitability: </w:t>
      </w:r>
      <w:r>
        <w:rPr>
          <w:rFonts w:ascii="Aptos" w:hAnsi="Aptos"/>
          <w:b w:val="0"/>
          <w:i w:val="0"/>
          <w:color w:val="222222"/>
          <w:sz w:val="21"/>
        </w:rPr>
        <w:t>Modestly positive. Longer asset yields and fixed-rate asset repricing support NII, while deposit costs are comparatively sticky or easing.</w:t>
      </w:r>
    </w:p>
    <w:p>
      <w:r>
        <w:rPr>
          <w:rFonts w:ascii="Aptos" w:hAnsi="Aptos"/>
          <w:b/>
          <w:i w:val="0"/>
          <w:color w:val="222222"/>
          <w:sz w:val="21"/>
        </w:rPr>
        <w:t xml:space="preserve">Lending: </w:t>
      </w:r>
      <w:r>
        <w:rPr>
          <w:rFonts w:ascii="Aptos" w:hAnsi="Aptos"/>
          <w:b w:val="0"/>
          <w:i w:val="0"/>
          <w:color w:val="222222"/>
          <w:sz w:val="21"/>
        </w:rPr>
        <w:t>Mixed. Better spreads encourage supply, but higher 5–10Y borrowing costs suppress mortgages, CRE refinancing and capital spending.</w:t>
      </w:r>
    </w:p>
    <w:p>
      <w:r>
        <w:rPr>
          <w:rFonts w:ascii="Aptos" w:hAnsi="Aptos"/>
          <w:b/>
          <w:i w:val="0"/>
          <w:color w:val="222222"/>
          <w:sz w:val="21"/>
        </w:rPr>
        <w:t xml:space="preserve">Credit creation: </w:t>
      </w:r>
      <w:r>
        <w:rPr>
          <w:rFonts w:ascii="Aptos" w:hAnsi="Aptos"/>
          <w:b w:val="0"/>
          <w:i w:val="0"/>
          <w:color w:val="222222"/>
          <w:sz w:val="21"/>
        </w:rPr>
        <w:t>Still positive because demand and nominal activity have outweighed the higher cost of capital.</w:t>
      </w:r>
    </w:p>
    <w:p>
      <w:r>
        <w:rPr>
          <w:rFonts w:ascii="Aptos" w:hAnsi="Aptos"/>
          <w:b/>
          <w:i w:val="0"/>
          <w:color w:val="222222"/>
          <w:sz w:val="21"/>
        </w:rPr>
        <w:t xml:space="preserve">Broader economy: </w:t>
      </w:r>
      <w:r>
        <w:rPr>
          <w:rFonts w:ascii="Aptos" w:hAnsi="Aptos"/>
          <w:b w:val="0"/>
          <w:i w:val="0"/>
          <w:color w:val="222222"/>
          <w:sz w:val="21"/>
        </w:rPr>
        <w:t>Healthy only while the long-end rise reflects nominal growth. A sustained 10Y move above roughly 5% without stronger real growth would become restrictive.</w:t>
      </w:r>
    </w:p>
    <w:p>
      <w:r>
        <w:rPr>
          <w:rFonts w:ascii="Aptos" w:hAnsi="Aptos"/>
          <w:b w:val="0"/>
          <w:i w:val="0"/>
          <w:color w:val="222222"/>
          <w:sz w:val="21"/>
        </w:rPr>
        <w:t>Assessment: positive for bank earnings, neutral for the broader economy.</w:t>
      </w:r>
    </w:p>
    <w:p>
      <w:pPr>
        <w:pStyle w:val="Heading1"/>
      </w:pPr>
      <w:r>
        <w:t>2. Credit Creation</w:t>
      </w:r>
    </w:p>
    <w:p>
      <w:r>
        <w:rPr>
          <w:rFonts w:ascii="Aptos" w:hAnsi="Aptos"/>
          <w:b w:val="0"/>
          <w:i w:val="0"/>
          <w:color w:val="222222"/>
          <w:sz w:val="21"/>
        </w:rPr>
        <w:t>C&amp;I loans reached about $2.89 trillion on 15 July, up from approximately $2.85 trillion in early April and $2.72 trillion at the start of 2026. Monthly C&amp;I growth was approximately 8.0% year over year in June. Total loans and leases were about $13.9 trillion in mid-July.</w:t>
      </w:r>
    </w:p>
    <w:tbl>
      <w:tblPr>
        <w:tblStyle w:val="TableGrid"/>
        <w:tblW w:type="dxa" w:w="9360"/>
        <w:jc w:val="left"/>
        <w:tblLayout w:type="fixed"/>
        <w:tblLook w:firstColumn="1" w:firstRow="1" w:lastColumn="0" w:lastRow="0" w:noHBand="0" w:noVBand="1" w:val="04A0"/>
        <w:tblInd w:w="120" w:type="dxa"/>
      </w:tblPr>
      <w:tblGrid>
        <w:gridCol w:w="2300"/>
        <w:gridCol w:w="7060"/>
      </w:tblGrid>
      <w:tr>
        <w:tc>
          <w:tcPr>
            <w:tcW w:type="dxa" w:w="2300"/>
            <w:shd w:fill="1F4E79"/>
            <w:tcMar>
              <w:top w:w="90" w:type="dxa"/>
              <w:start w:w="110" w:type="dxa"/>
              <w:bottom w:w="90" w:type="dxa"/>
              <w:end w:w="110" w:type="dxa"/>
            </w:tcMar>
            <w:vAlign w:val="center"/>
          </w:tcPr>
          <w:p>
            <w:pPr>
              <w:jc w:val="left"/>
            </w:pPr>
            <w:r>
              <w:rPr>
                <w:rFonts w:ascii="Aptos" w:hAnsi="Aptos"/>
                <w:b/>
                <w:i w:val="0"/>
                <w:color w:val="FFFFFF"/>
                <w:sz w:val="17"/>
              </w:rPr>
              <w:t>Bank</w:t>
            </w:r>
          </w:p>
        </w:tc>
        <w:tc>
          <w:tcPr>
            <w:tcW w:type="dxa" w:w="7060"/>
            <w:shd w:fill="1F4E79"/>
            <w:tcMar>
              <w:top w:w="90" w:type="dxa"/>
              <w:start w:w="110" w:type="dxa"/>
              <w:bottom w:w="90" w:type="dxa"/>
              <w:end w:w="110" w:type="dxa"/>
            </w:tcMar>
            <w:vAlign w:val="center"/>
          </w:tcPr>
          <w:p>
            <w:pPr>
              <w:jc w:val="left"/>
            </w:pPr>
            <w:r>
              <w:rPr>
                <w:rFonts w:ascii="Aptos" w:hAnsi="Aptos"/>
                <w:b/>
                <w:i w:val="0"/>
                <w:color w:val="FFFFFF"/>
                <w:sz w:val="17"/>
              </w:rPr>
              <w:t>Latest loan signal</w:t>
            </w:r>
          </w:p>
        </w:tc>
      </w:tr>
      <w:tr>
        <w:tc>
          <w:tcPr>
            <w:tcW w:type="dxa" w:w="2300"/>
            <w:tcMar>
              <w:top w:w="90" w:type="dxa"/>
              <w:start w:w="110" w:type="dxa"/>
              <w:bottom w:w="90" w:type="dxa"/>
              <w:end w:w="110" w:type="dxa"/>
            </w:tcMar>
            <w:vAlign w:val="center"/>
          </w:tcPr>
          <w:p>
            <w:pPr>
              <w:spacing w:after="0"/>
            </w:pPr>
            <w:r>
              <w:rPr>
                <w:rFonts w:ascii="Aptos" w:hAnsi="Aptos"/>
                <w:b w:val="0"/>
                <w:i w:val="0"/>
                <w:color w:val="222222"/>
                <w:sz w:val="17"/>
              </w:rPr>
              <w:t>JPMorgan</w:t>
            </w:r>
          </w:p>
        </w:tc>
        <w:tc>
          <w:tcPr>
            <w:tcW w:type="dxa" w:w="7060"/>
            <w:tcMar>
              <w:top w:w="90" w:type="dxa"/>
              <w:start w:w="110" w:type="dxa"/>
              <w:bottom w:w="90" w:type="dxa"/>
              <w:end w:w="110" w:type="dxa"/>
            </w:tcMar>
            <w:vAlign w:val="center"/>
          </w:tcPr>
          <w:p>
            <w:pPr>
              <w:spacing w:after="0"/>
            </w:pPr>
            <w:r>
              <w:rPr>
                <w:rFonts w:ascii="Aptos" w:hAnsi="Aptos"/>
                <w:b w:val="0"/>
                <w:i w:val="0"/>
                <w:color w:val="222222"/>
                <w:sz w:val="17"/>
              </w:rPr>
              <w:t>Average loans +10% YoY; +2% QoQ</w:t>
            </w:r>
          </w:p>
        </w:tc>
      </w:tr>
      <w:tr>
        <w:tc>
          <w:tcPr>
            <w:tcW w:type="dxa" w:w="2300"/>
            <w:shd w:fill="F4F6F8"/>
            <w:tcMar>
              <w:top w:w="90" w:type="dxa"/>
              <w:start w:w="110" w:type="dxa"/>
              <w:bottom w:w="90" w:type="dxa"/>
              <w:end w:w="110" w:type="dxa"/>
            </w:tcMar>
            <w:vAlign w:val="center"/>
          </w:tcPr>
          <w:p>
            <w:pPr>
              <w:spacing w:after="0"/>
            </w:pPr>
            <w:r>
              <w:rPr>
                <w:rFonts w:ascii="Aptos" w:hAnsi="Aptos"/>
                <w:b w:val="0"/>
                <w:i w:val="0"/>
                <w:color w:val="222222"/>
                <w:sz w:val="17"/>
              </w:rPr>
              <w:t>Bank of America</w:t>
            </w:r>
          </w:p>
        </w:tc>
        <w:tc>
          <w:tcPr>
            <w:tcW w:type="dxa" w:w="7060"/>
            <w:shd w:fill="F4F6F8"/>
            <w:tcMar>
              <w:top w:w="90" w:type="dxa"/>
              <w:start w:w="110" w:type="dxa"/>
              <w:bottom w:w="90" w:type="dxa"/>
              <w:end w:w="110" w:type="dxa"/>
            </w:tcMar>
            <w:vAlign w:val="center"/>
          </w:tcPr>
          <w:p>
            <w:pPr>
              <w:spacing w:after="0"/>
            </w:pPr>
            <w:r>
              <w:rPr>
                <w:rFonts w:ascii="Aptos" w:hAnsi="Aptos"/>
                <w:b w:val="0"/>
                <w:i w:val="0"/>
                <w:color w:val="222222"/>
                <w:sz w:val="17"/>
              </w:rPr>
              <w:t>Average loans +8%; growth in every business segment</w:t>
            </w:r>
          </w:p>
        </w:tc>
      </w:tr>
      <w:tr>
        <w:tc>
          <w:tcPr>
            <w:tcW w:type="dxa" w:w="2300"/>
            <w:tcMar>
              <w:top w:w="90" w:type="dxa"/>
              <w:start w:w="110" w:type="dxa"/>
              <w:bottom w:w="90" w:type="dxa"/>
              <w:end w:w="110" w:type="dxa"/>
            </w:tcMar>
            <w:vAlign w:val="center"/>
          </w:tcPr>
          <w:p>
            <w:pPr>
              <w:spacing w:after="0"/>
            </w:pPr>
            <w:r>
              <w:rPr>
                <w:rFonts w:ascii="Aptos" w:hAnsi="Aptos"/>
                <w:b w:val="0"/>
                <w:i w:val="0"/>
                <w:color w:val="222222"/>
                <w:sz w:val="17"/>
              </w:rPr>
              <w:t>Wells Fargo</w:t>
            </w:r>
          </w:p>
        </w:tc>
        <w:tc>
          <w:tcPr>
            <w:tcW w:type="dxa" w:w="7060"/>
            <w:tcMar>
              <w:top w:w="90" w:type="dxa"/>
              <w:start w:w="110" w:type="dxa"/>
              <w:bottom w:w="90" w:type="dxa"/>
              <w:end w:w="110" w:type="dxa"/>
            </w:tcMar>
            <w:vAlign w:val="center"/>
          </w:tcPr>
          <w:p>
            <w:pPr>
              <w:spacing w:after="0"/>
            </w:pPr>
            <w:r>
              <w:rPr>
                <w:rFonts w:ascii="Aptos" w:hAnsi="Aptos"/>
                <w:b w:val="0"/>
                <w:i w:val="0"/>
                <w:color w:val="222222"/>
                <w:sz w:val="17"/>
              </w:rPr>
              <w:t>Average loans $1.027tn vs $917bn; approximately +12%</w:t>
            </w:r>
          </w:p>
        </w:tc>
      </w:tr>
      <w:tr>
        <w:tc>
          <w:tcPr>
            <w:tcW w:type="dxa" w:w="2300"/>
            <w:shd w:fill="F4F6F8"/>
            <w:tcMar>
              <w:top w:w="90" w:type="dxa"/>
              <w:start w:w="110" w:type="dxa"/>
              <w:bottom w:w="90" w:type="dxa"/>
              <w:end w:w="110" w:type="dxa"/>
            </w:tcMar>
            <w:vAlign w:val="center"/>
          </w:tcPr>
          <w:p>
            <w:pPr>
              <w:spacing w:after="0"/>
            </w:pPr>
            <w:r>
              <w:rPr>
                <w:rFonts w:ascii="Aptos" w:hAnsi="Aptos"/>
                <w:b w:val="0"/>
                <w:i w:val="0"/>
                <w:color w:val="222222"/>
                <w:sz w:val="17"/>
              </w:rPr>
              <w:t>Morgan Stanley</w:t>
            </w:r>
          </w:p>
        </w:tc>
        <w:tc>
          <w:tcPr>
            <w:tcW w:type="dxa" w:w="7060"/>
            <w:shd w:fill="F4F6F8"/>
            <w:tcMar>
              <w:top w:w="90" w:type="dxa"/>
              <w:start w:w="110" w:type="dxa"/>
              <w:bottom w:w="90" w:type="dxa"/>
              <w:end w:w="110" w:type="dxa"/>
            </w:tcMar>
            <w:vAlign w:val="center"/>
          </w:tcPr>
          <w:p>
            <w:pPr>
              <w:spacing w:after="0"/>
            </w:pPr>
            <w:r>
              <w:rPr>
                <w:rFonts w:ascii="Aptos" w:hAnsi="Aptos"/>
                <w:b w:val="0"/>
                <w:i w:val="0"/>
                <w:color w:val="222222"/>
                <w:sz w:val="17"/>
              </w:rPr>
              <w:t>Loans $196bn vs $169bn; approximately +16%</w:t>
            </w:r>
          </w:p>
        </w:tc>
      </w:tr>
    </w:tbl>
    <w:p>
      <w:pPr>
        <w:spacing w:after="20"/>
      </w:pPr>
    </w:p>
    <w:p>
      <w:pPr>
        <w:pStyle w:val="Heading2"/>
      </w:pPr>
      <w:r>
        <w:t>SLOOS</w:t>
      </w:r>
    </w:p>
    <w:p>
      <w:pPr>
        <w:pStyle w:val="ListBullet"/>
      </w:pPr>
      <w:r>
        <w:rPr>
          <w:rFonts w:ascii="Aptos" w:hAnsi="Aptos"/>
          <w:b w:val="0"/>
          <w:i w:val="0"/>
          <w:color w:val="222222"/>
          <w:sz w:val="21"/>
        </w:rPr>
        <w:t>A modest net share tightened C&amp;I standards; C&amp;I demand was broadly unchanged.</w:t>
      </w:r>
    </w:p>
    <w:p>
      <w:pPr>
        <w:pStyle w:val="ListBullet"/>
      </w:pPr>
      <w:r>
        <w:rPr>
          <w:rFonts w:ascii="Aptos" w:hAnsi="Aptos"/>
          <w:b w:val="0"/>
          <w:i w:val="0"/>
          <w:color w:val="222222"/>
          <w:sz w:val="21"/>
        </w:rPr>
        <w:t>Risk premiums, covenants and collateral requirements tightened at some banks.</w:t>
      </w:r>
    </w:p>
    <w:p>
      <w:pPr>
        <w:pStyle w:val="ListBullet"/>
      </w:pPr>
      <w:r>
        <w:rPr>
          <w:rFonts w:ascii="Aptos" w:hAnsi="Aptos"/>
          <w:b w:val="0"/>
          <w:i w:val="0"/>
          <w:color w:val="222222"/>
          <w:sz w:val="21"/>
        </w:rPr>
        <w:t>CRE standards were broadly unchanged, although smaller banks were more restrictive.</w:t>
      </w:r>
    </w:p>
    <w:p>
      <w:pPr>
        <w:pStyle w:val="ListBullet"/>
      </w:pPr>
      <w:r>
        <w:rPr>
          <w:rFonts w:ascii="Aptos" w:hAnsi="Aptos"/>
          <w:b w:val="0"/>
          <w:i w:val="0"/>
          <w:color w:val="222222"/>
          <w:sz w:val="21"/>
        </w:rPr>
        <w:t>Consumer-loan demand weakened; NDFI standards tightened despite stronger demand.</w:t>
      </w:r>
    </w:p>
    <w:p>
      <w:r>
        <w:rPr>
          <w:rFonts w:ascii="Aptos" w:hAnsi="Aptos"/>
          <w:b w:val="0"/>
          <w:i w:val="0"/>
          <w:color w:val="222222"/>
          <w:sz w:val="21"/>
        </w:rPr>
        <w:t>Interpretation: credit conditions are improving in quantity faster than in underwriting sentiment. This supports near-term activity but is less powerful than an early-cycle, across-the-board easing.</w:t>
      </w:r>
    </w:p>
    <w:p>
      <w:pPr>
        <w:pStyle w:val="Heading1"/>
      </w:pPr>
      <w:r>
        <w:t>3. High-Yield Credit</w:t>
      </w:r>
    </w:p>
    <w:p>
      <w:pPr>
        <w:pStyle w:val="ListBullet"/>
      </w:pPr>
      <w:r>
        <w:rPr>
          <w:rFonts w:ascii="Aptos" w:hAnsi="Aptos"/>
          <w:b w:val="0"/>
          <w:i w:val="0"/>
          <w:color w:val="222222"/>
          <w:sz w:val="21"/>
        </w:rPr>
        <w:t>ICE BofA US HY OAS was approximately 270–275 bp in mid-July, versus roughly the high-200s/low-300s three months earlier.</w:t>
      </w:r>
    </w:p>
    <w:p>
      <w:pPr>
        <w:pStyle w:val="ListBullet"/>
      </w:pPr>
      <w:r>
        <w:rPr>
          <w:rFonts w:ascii="Aptos" w:hAnsi="Aptos"/>
          <w:b w:val="0"/>
          <w:i w:val="0"/>
          <w:color w:val="222222"/>
          <w:sz w:val="21"/>
        </w:rPr>
        <w:t>Moody’s reported a global speculative-grade trailing default rate near 4.4% in June and forecast about 3.1% by year-end; US HY default probability eased to roughly 3.2%.</w:t>
      </w:r>
    </w:p>
    <w:p>
      <w:pPr>
        <w:pStyle w:val="ListBullet"/>
      </w:pPr>
      <w:r>
        <w:rPr>
          <w:rFonts w:ascii="Aptos" w:hAnsi="Aptos"/>
          <w:b w:val="0"/>
          <w:i w:val="0"/>
          <w:color w:val="222222"/>
          <w:sz w:val="21"/>
        </w:rPr>
        <w:t>The conventional leveraged-loan default rate fell below 1% in June, but liability-management exercises make economic defaults worse than the headline suggests.</w:t>
      </w:r>
    </w:p>
    <w:p>
      <w:pPr>
        <w:pStyle w:val="ListBullet"/>
      </w:pPr>
      <w:r>
        <w:rPr>
          <w:rFonts w:ascii="Aptos" w:hAnsi="Aptos"/>
          <w:b w:val="0"/>
          <w:i w:val="0"/>
          <w:color w:val="222222"/>
          <w:sz w:val="21"/>
        </w:rPr>
        <w:t>The leveraged-loan distress ratio peaked near 7.23% in March and remained elevated around the high-6% area.</w:t>
      </w:r>
    </w:p>
    <w:p>
      <w:r>
        <w:rPr>
          <w:rFonts w:ascii="Aptos" w:hAnsi="Aptos"/>
          <w:b w:val="0"/>
          <w:i w:val="0"/>
          <w:color w:val="222222"/>
          <w:sz w:val="21"/>
        </w:rPr>
        <w:t>Credit markets confirm equity strength—but with little valuation cushion. At roughly 270 bp, broad HY prices a benign refinancing and recovery environment despite continuing stress in lower-quality software, healthcare, CRE and private credit. Signal: bullish now, asymmetrically vulnerable if growth disappoints.</w:t>
      </w:r>
    </w:p>
    <w:p>
      <w:pPr>
        <w:pStyle w:val="Heading1"/>
      </w:pPr>
      <w:r>
        <w:t>4. Financial Sector Health</w:t>
      </w:r>
    </w:p>
    <w:p>
      <w:r>
        <w:rPr>
          <w:rFonts w:ascii="Aptos" w:hAnsi="Aptos"/>
          <w:b w:val="0"/>
          <w:i w:val="0"/>
          <w:color w:val="222222"/>
          <w:sz w:val="21"/>
        </w:rPr>
        <w:t>At 30 June, XLF had gained about 9% over three months, but it lagged the S&amp;P 500’s unusually strong Q2 rebound. By late July and early August, bank indices accelerated; KBE’s reported YTD return was around 17% versus approximately 6% for XLF, indicating a decisive rotation into banks.</w:t>
      </w:r>
    </w:p>
    <w:tbl>
      <w:tblPr>
        <w:tblStyle w:val="TableGrid"/>
        <w:tblW w:type="dxa" w:w="9360"/>
        <w:jc w:val="left"/>
        <w:tblLayout w:type="fixed"/>
        <w:tblLook w:firstColumn="1" w:firstRow="1" w:lastColumn="0" w:lastRow="0" w:noHBand="0" w:noVBand="1" w:val="04A0"/>
        <w:tblInd w:w="120" w:type="dxa"/>
      </w:tblPr>
      <w:tblGrid>
        <w:gridCol w:w="1900"/>
        <w:gridCol w:w="2000"/>
        <w:gridCol w:w="5460"/>
      </w:tblGrid>
      <w:tr>
        <w:tc>
          <w:tcPr>
            <w:tcW w:type="dxa" w:w="1900"/>
            <w:shd w:fill="1F4E79"/>
            <w:tcMar>
              <w:top w:w="90" w:type="dxa"/>
              <w:start w:w="110" w:type="dxa"/>
              <w:bottom w:w="90" w:type="dxa"/>
              <w:end w:w="110" w:type="dxa"/>
            </w:tcMar>
            <w:vAlign w:val="center"/>
          </w:tcPr>
          <w:p>
            <w:pPr>
              <w:jc w:val="left"/>
            </w:pPr>
            <w:r>
              <w:rPr>
                <w:rFonts w:ascii="Aptos" w:hAnsi="Aptos"/>
                <w:b/>
                <w:i w:val="0"/>
                <w:color w:val="FFFFFF"/>
                <w:sz w:val="17"/>
              </w:rPr>
              <w:t>Industry</w:t>
            </w:r>
          </w:p>
        </w:tc>
        <w:tc>
          <w:tcPr>
            <w:tcW w:type="dxa" w:w="2000"/>
            <w:shd w:fill="1F4E79"/>
            <w:tcMar>
              <w:top w:w="90" w:type="dxa"/>
              <w:start w:w="110" w:type="dxa"/>
              <w:bottom w:w="90" w:type="dxa"/>
              <w:end w:w="110" w:type="dxa"/>
            </w:tcMar>
            <w:vAlign w:val="center"/>
          </w:tcPr>
          <w:p>
            <w:pPr>
              <w:jc w:val="left"/>
            </w:pPr>
            <w:r>
              <w:rPr>
                <w:rFonts w:ascii="Aptos" w:hAnsi="Aptos"/>
                <w:b/>
                <w:i w:val="0"/>
                <w:color w:val="FFFFFF"/>
                <w:sz w:val="17"/>
              </w:rPr>
              <w:t>Signal</w:t>
            </w:r>
          </w:p>
        </w:tc>
        <w:tc>
          <w:tcPr>
            <w:tcW w:type="dxa" w:w="5460"/>
            <w:shd w:fill="1F4E79"/>
            <w:tcMar>
              <w:top w:w="90" w:type="dxa"/>
              <w:start w:w="110" w:type="dxa"/>
              <w:bottom w:w="90" w:type="dxa"/>
              <w:end w:w="110" w:type="dxa"/>
            </w:tcMar>
            <w:vAlign w:val="center"/>
          </w:tcPr>
          <w:p>
            <w:pPr>
              <w:jc w:val="left"/>
            </w:pPr>
            <w:r>
              <w:rPr>
                <w:rFonts w:ascii="Aptos" w:hAnsi="Aptos"/>
                <w:b/>
                <w:i w:val="0"/>
                <w:color w:val="FFFFFF"/>
                <w:sz w:val="17"/>
              </w:rPr>
              <w:t>Why</w:t>
            </w:r>
          </w:p>
        </w:tc>
      </w:tr>
      <w:tr>
        <w:tc>
          <w:tcPr>
            <w:tcW w:type="dxa" w:w="1900"/>
            <w:tcMar>
              <w:top w:w="90" w:type="dxa"/>
              <w:start w:w="110" w:type="dxa"/>
              <w:bottom w:w="90" w:type="dxa"/>
              <w:end w:w="110" w:type="dxa"/>
            </w:tcMar>
            <w:vAlign w:val="center"/>
          </w:tcPr>
          <w:p>
            <w:pPr>
              <w:spacing w:after="0"/>
            </w:pPr>
            <w:r>
              <w:rPr>
                <w:rFonts w:ascii="Aptos" w:hAnsi="Aptos"/>
                <w:b w:val="0"/>
                <w:i w:val="0"/>
                <w:color w:val="222222"/>
                <w:sz w:val="17"/>
              </w:rPr>
              <w:t>Large banks</w:t>
            </w:r>
          </w:p>
        </w:tc>
        <w:tc>
          <w:tcPr>
            <w:tcW w:type="dxa" w:w="2000"/>
            <w:tcMar>
              <w:top w:w="90" w:type="dxa"/>
              <w:start w:w="110" w:type="dxa"/>
              <w:bottom w:w="90" w:type="dxa"/>
              <w:end w:w="110" w:type="dxa"/>
            </w:tcMar>
            <w:vAlign w:val="center"/>
          </w:tcPr>
          <w:p>
            <w:pPr>
              <w:spacing w:after="0"/>
            </w:pPr>
            <w:r>
              <w:rPr>
                <w:rFonts w:ascii="Aptos" w:hAnsi="Aptos"/>
                <w:b w:val="0"/>
                <w:i w:val="0"/>
                <w:color w:val="222222"/>
                <w:sz w:val="17"/>
              </w:rPr>
              <w:t>Strong</w:t>
            </w:r>
          </w:p>
        </w:tc>
        <w:tc>
          <w:tcPr>
            <w:tcW w:type="dxa" w:w="5460"/>
            <w:tcMar>
              <w:top w:w="90" w:type="dxa"/>
              <w:start w:w="110" w:type="dxa"/>
              <w:bottom w:w="90" w:type="dxa"/>
              <w:end w:w="110" w:type="dxa"/>
            </w:tcMar>
            <w:vAlign w:val="center"/>
          </w:tcPr>
          <w:p>
            <w:pPr>
              <w:spacing w:after="0"/>
            </w:pPr>
            <w:r>
              <w:rPr>
                <w:rFonts w:ascii="Aptos" w:hAnsi="Aptos"/>
                <w:b w:val="0"/>
                <w:i w:val="0"/>
                <w:color w:val="222222"/>
                <w:sz w:val="17"/>
              </w:rPr>
              <w:t>NII, loan growth, capital return and trading all positive</w:t>
            </w:r>
          </w:p>
        </w:tc>
      </w:tr>
      <w:tr>
        <w:tc>
          <w:tcPr>
            <w:tcW w:type="dxa" w:w="1900"/>
            <w:shd w:fill="F4F6F8"/>
            <w:tcMar>
              <w:top w:w="90" w:type="dxa"/>
              <w:start w:w="110" w:type="dxa"/>
              <w:bottom w:w="90" w:type="dxa"/>
              <w:end w:w="110" w:type="dxa"/>
            </w:tcMar>
            <w:vAlign w:val="center"/>
          </w:tcPr>
          <w:p>
            <w:pPr>
              <w:spacing w:after="0"/>
            </w:pPr>
            <w:r>
              <w:rPr>
                <w:rFonts w:ascii="Aptos" w:hAnsi="Aptos"/>
                <w:b w:val="0"/>
                <w:i w:val="0"/>
                <w:color w:val="222222"/>
                <w:sz w:val="17"/>
              </w:rPr>
              <w:t>Regional banks</w:t>
            </w:r>
          </w:p>
        </w:tc>
        <w:tc>
          <w:tcPr>
            <w:tcW w:type="dxa" w:w="2000"/>
            <w:shd w:fill="F4F6F8"/>
            <w:tcMar>
              <w:top w:w="90" w:type="dxa"/>
              <w:start w:w="110" w:type="dxa"/>
              <w:bottom w:w="90" w:type="dxa"/>
              <w:end w:w="110" w:type="dxa"/>
            </w:tcMar>
            <w:vAlign w:val="center"/>
          </w:tcPr>
          <w:p>
            <w:pPr>
              <w:spacing w:after="0"/>
            </w:pPr>
            <w:r>
              <w:rPr>
                <w:rFonts w:ascii="Aptos" w:hAnsi="Aptos"/>
                <w:b w:val="0"/>
                <w:i w:val="0"/>
                <w:color w:val="222222"/>
                <w:sz w:val="17"/>
              </w:rPr>
              <w:t>Improving strongly</w:t>
            </w:r>
          </w:p>
        </w:tc>
        <w:tc>
          <w:tcPr>
            <w:tcW w:type="dxa" w:w="5460"/>
            <w:shd w:fill="F4F6F8"/>
            <w:tcMar>
              <w:top w:w="90" w:type="dxa"/>
              <w:start w:w="110" w:type="dxa"/>
              <w:bottom w:w="90" w:type="dxa"/>
              <w:end w:w="110" w:type="dxa"/>
            </w:tcMar>
            <w:vAlign w:val="center"/>
          </w:tcPr>
          <w:p>
            <w:pPr>
              <w:spacing w:after="0"/>
            </w:pPr>
            <w:r>
              <w:rPr>
                <w:rFonts w:ascii="Aptos" w:hAnsi="Aptos"/>
                <w:b w:val="0"/>
                <w:i w:val="0"/>
                <w:color w:val="222222"/>
                <w:sz w:val="17"/>
              </w:rPr>
              <w:t>Steeper curve, better loan growth, reduced deposit anxiety</w:t>
            </w:r>
          </w:p>
        </w:tc>
      </w:tr>
      <w:tr>
        <w:tc>
          <w:tcPr>
            <w:tcW w:type="dxa" w:w="1900"/>
            <w:tcMar>
              <w:top w:w="90" w:type="dxa"/>
              <w:start w:w="110" w:type="dxa"/>
              <w:bottom w:w="90" w:type="dxa"/>
              <w:end w:w="110" w:type="dxa"/>
            </w:tcMar>
            <w:vAlign w:val="center"/>
          </w:tcPr>
          <w:p>
            <w:pPr>
              <w:spacing w:after="0"/>
            </w:pPr>
            <w:r>
              <w:rPr>
                <w:rFonts w:ascii="Aptos" w:hAnsi="Aptos"/>
                <w:b w:val="0"/>
                <w:i w:val="0"/>
                <w:color w:val="222222"/>
                <w:sz w:val="17"/>
              </w:rPr>
              <w:t>Broker-dealers</w:t>
            </w:r>
          </w:p>
        </w:tc>
        <w:tc>
          <w:tcPr>
            <w:tcW w:type="dxa" w:w="2000"/>
            <w:tcMar>
              <w:top w:w="90" w:type="dxa"/>
              <w:start w:w="110" w:type="dxa"/>
              <w:bottom w:w="90" w:type="dxa"/>
              <w:end w:w="110" w:type="dxa"/>
            </w:tcMar>
            <w:vAlign w:val="center"/>
          </w:tcPr>
          <w:p>
            <w:pPr>
              <w:spacing w:after="0"/>
            </w:pPr>
            <w:r>
              <w:rPr>
                <w:rFonts w:ascii="Aptos" w:hAnsi="Aptos"/>
                <w:b w:val="0"/>
                <w:i w:val="0"/>
                <w:color w:val="222222"/>
                <w:sz w:val="17"/>
              </w:rPr>
              <w:t>Strongest</w:t>
            </w:r>
          </w:p>
        </w:tc>
        <w:tc>
          <w:tcPr>
            <w:tcW w:type="dxa" w:w="5460"/>
            <w:tcMar>
              <w:top w:w="90" w:type="dxa"/>
              <w:start w:w="110" w:type="dxa"/>
              <w:bottom w:w="90" w:type="dxa"/>
              <w:end w:w="110" w:type="dxa"/>
            </w:tcMar>
            <w:vAlign w:val="center"/>
          </w:tcPr>
          <w:p>
            <w:pPr>
              <w:spacing w:after="0"/>
            </w:pPr>
            <w:r>
              <w:rPr>
                <w:rFonts w:ascii="Aptos" w:hAnsi="Aptos"/>
                <w:b w:val="0"/>
                <w:i w:val="0"/>
                <w:color w:val="222222"/>
                <w:sz w:val="17"/>
              </w:rPr>
              <w:t>Exceptional trading, underwriting and client activity</w:t>
            </w:r>
          </w:p>
        </w:tc>
      </w:tr>
      <w:tr>
        <w:tc>
          <w:tcPr>
            <w:tcW w:type="dxa" w:w="1900"/>
            <w:shd w:fill="F4F6F8"/>
            <w:tcMar>
              <w:top w:w="90" w:type="dxa"/>
              <w:start w:w="110" w:type="dxa"/>
              <w:bottom w:w="90" w:type="dxa"/>
              <w:end w:w="110" w:type="dxa"/>
            </w:tcMar>
            <w:vAlign w:val="center"/>
          </w:tcPr>
          <w:p>
            <w:pPr>
              <w:spacing w:after="0"/>
            </w:pPr>
            <w:r>
              <w:rPr>
                <w:rFonts w:ascii="Aptos" w:hAnsi="Aptos"/>
                <w:b w:val="0"/>
                <w:i w:val="0"/>
                <w:color w:val="222222"/>
                <w:sz w:val="17"/>
              </w:rPr>
              <w:t>Exchanges</w:t>
            </w:r>
          </w:p>
        </w:tc>
        <w:tc>
          <w:tcPr>
            <w:tcW w:type="dxa" w:w="2000"/>
            <w:shd w:fill="F4F6F8"/>
            <w:tcMar>
              <w:top w:w="90" w:type="dxa"/>
              <w:start w:w="110" w:type="dxa"/>
              <w:bottom w:w="90" w:type="dxa"/>
              <w:end w:w="110" w:type="dxa"/>
            </w:tcMar>
            <w:vAlign w:val="center"/>
          </w:tcPr>
          <w:p>
            <w:pPr>
              <w:spacing w:after="0"/>
            </w:pPr>
            <w:r>
              <w:rPr>
                <w:rFonts w:ascii="Aptos" w:hAnsi="Aptos"/>
                <w:b w:val="0"/>
                <w:i w:val="0"/>
                <w:color w:val="222222"/>
                <w:sz w:val="17"/>
              </w:rPr>
              <w:t>Strong</w:t>
            </w:r>
          </w:p>
        </w:tc>
        <w:tc>
          <w:tcPr>
            <w:tcW w:type="dxa" w:w="5460"/>
            <w:shd w:fill="F4F6F8"/>
            <w:tcMar>
              <w:top w:w="90" w:type="dxa"/>
              <w:start w:w="110" w:type="dxa"/>
              <w:bottom w:w="90" w:type="dxa"/>
              <w:end w:w="110" w:type="dxa"/>
            </w:tcMar>
            <w:vAlign w:val="center"/>
          </w:tcPr>
          <w:p>
            <w:pPr>
              <w:spacing w:after="0"/>
            </w:pPr>
            <w:r>
              <w:rPr>
                <w:rFonts w:ascii="Aptos" w:hAnsi="Aptos"/>
                <w:b w:val="0"/>
                <w:i w:val="0"/>
                <w:color w:val="222222"/>
                <w:sz w:val="17"/>
              </w:rPr>
              <w:t>Volatility and trading volumes support fee income</w:t>
            </w:r>
          </w:p>
        </w:tc>
      </w:tr>
      <w:tr>
        <w:tc>
          <w:tcPr>
            <w:tcW w:type="dxa" w:w="1900"/>
            <w:tcMar>
              <w:top w:w="90" w:type="dxa"/>
              <w:start w:w="110" w:type="dxa"/>
              <w:bottom w:w="90" w:type="dxa"/>
              <w:end w:w="110" w:type="dxa"/>
            </w:tcMar>
            <w:vAlign w:val="center"/>
          </w:tcPr>
          <w:p>
            <w:pPr>
              <w:spacing w:after="0"/>
            </w:pPr>
            <w:r>
              <w:rPr>
                <w:rFonts w:ascii="Aptos" w:hAnsi="Aptos"/>
                <w:b w:val="0"/>
                <w:i w:val="0"/>
                <w:color w:val="222222"/>
                <w:sz w:val="17"/>
              </w:rPr>
              <w:t>Insurers</w:t>
            </w:r>
          </w:p>
        </w:tc>
        <w:tc>
          <w:tcPr>
            <w:tcW w:type="dxa" w:w="2000"/>
            <w:tcMar>
              <w:top w:w="90" w:type="dxa"/>
              <w:start w:w="110" w:type="dxa"/>
              <w:bottom w:w="90" w:type="dxa"/>
              <w:end w:w="110" w:type="dxa"/>
            </w:tcMar>
            <w:vAlign w:val="center"/>
          </w:tcPr>
          <w:p>
            <w:pPr>
              <w:spacing w:after="0"/>
            </w:pPr>
            <w:r>
              <w:rPr>
                <w:rFonts w:ascii="Aptos" w:hAnsi="Aptos"/>
                <w:b w:val="0"/>
                <w:i w:val="0"/>
                <w:color w:val="222222"/>
                <w:sz w:val="17"/>
              </w:rPr>
              <w:t>Constructive</w:t>
            </w:r>
          </w:p>
        </w:tc>
        <w:tc>
          <w:tcPr>
            <w:tcW w:type="dxa" w:w="5460"/>
            <w:tcMar>
              <w:top w:w="90" w:type="dxa"/>
              <w:start w:w="110" w:type="dxa"/>
              <w:bottom w:w="90" w:type="dxa"/>
              <w:end w:w="110" w:type="dxa"/>
            </w:tcMar>
            <w:vAlign w:val="center"/>
          </w:tcPr>
          <w:p>
            <w:pPr>
              <w:spacing w:after="0"/>
            </w:pPr>
            <w:r>
              <w:rPr>
                <w:rFonts w:ascii="Aptos" w:hAnsi="Aptos"/>
                <w:b w:val="0"/>
                <w:i w:val="0"/>
                <w:color w:val="222222"/>
                <w:sz w:val="17"/>
              </w:rPr>
              <w:t>Higher reinvestment yields and defensive earnings</w:t>
            </w:r>
          </w:p>
        </w:tc>
      </w:tr>
      <w:tr>
        <w:tc>
          <w:tcPr>
            <w:tcW w:type="dxa" w:w="1900"/>
            <w:shd w:fill="F4F6F8"/>
            <w:tcMar>
              <w:top w:w="90" w:type="dxa"/>
              <w:start w:w="110" w:type="dxa"/>
              <w:bottom w:w="90" w:type="dxa"/>
              <w:end w:w="110" w:type="dxa"/>
            </w:tcMar>
            <w:vAlign w:val="center"/>
          </w:tcPr>
          <w:p>
            <w:pPr>
              <w:spacing w:after="0"/>
            </w:pPr>
            <w:r>
              <w:rPr>
                <w:rFonts w:ascii="Aptos" w:hAnsi="Aptos"/>
                <w:b w:val="0"/>
                <w:i w:val="0"/>
                <w:color w:val="222222"/>
                <w:sz w:val="17"/>
              </w:rPr>
              <w:t>Asset managers</w:t>
            </w:r>
          </w:p>
        </w:tc>
        <w:tc>
          <w:tcPr>
            <w:tcW w:type="dxa" w:w="2000"/>
            <w:shd w:fill="F4F6F8"/>
            <w:tcMar>
              <w:top w:w="90" w:type="dxa"/>
              <w:start w:w="110" w:type="dxa"/>
              <w:bottom w:w="90" w:type="dxa"/>
              <w:end w:w="110" w:type="dxa"/>
            </w:tcMar>
            <w:vAlign w:val="center"/>
          </w:tcPr>
          <w:p>
            <w:pPr>
              <w:spacing w:after="0"/>
            </w:pPr>
            <w:r>
              <w:rPr>
                <w:rFonts w:ascii="Aptos" w:hAnsi="Aptos"/>
                <w:b w:val="0"/>
                <w:i w:val="0"/>
                <w:color w:val="222222"/>
                <w:sz w:val="17"/>
              </w:rPr>
              <w:t>Positive</w:t>
            </w:r>
          </w:p>
        </w:tc>
        <w:tc>
          <w:tcPr>
            <w:tcW w:type="dxa" w:w="5460"/>
            <w:shd w:fill="F4F6F8"/>
            <w:tcMar>
              <w:top w:w="90" w:type="dxa"/>
              <w:start w:w="110" w:type="dxa"/>
              <w:bottom w:w="90" w:type="dxa"/>
              <w:end w:w="110" w:type="dxa"/>
            </w:tcMar>
            <w:vAlign w:val="center"/>
          </w:tcPr>
          <w:p>
            <w:pPr>
              <w:spacing w:after="0"/>
            </w:pPr>
            <w:r>
              <w:rPr>
                <w:rFonts w:ascii="Aptos" w:hAnsi="Aptos"/>
                <w:b w:val="0"/>
                <w:i w:val="0"/>
                <w:color w:val="222222"/>
                <w:sz w:val="17"/>
              </w:rPr>
              <w:t>Rising markets and AUM; exposed to valuation correction</w:t>
            </w:r>
          </w:p>
        </w:tc>
      </w:tr>
    </w:tbl>
    <w:p>
      <w:pPr>
        <w:spacing w:after="20"/>
      </w:pPr>
    </w:p>
    <w:p>
      <w:r>
        <w:rPr>
          <w:rFonts w:ascii="Aptos" w:hAnsi="Aptos"/>
          <w:b w:val="0"/>
          <w:i w:val="0"/>
          <w:color w:val="222222"/>
          <w:sz w:val="21"/>
        </w:rPr>
        <w:t>Leadership is fundamentally strongest in broker-dealers and diversified money-center banks. Regional-bank participation improves breadth but remains more dependent on the curve and CRE.</w:t>
      </w:r>
    </w:p>
    <w:p>
      <w:pPr>
        <w:pStyle w:val="Heading1"/>
      </w:pPr>
      <w:r>
        <w:t>5. Earnings Review</w:t>
      </w:r>
    </w:p>
    <w:p>
      <w:pPr>
        <w:pStyle w:val="Heading2"/>
      </w:pPr>
      <w:r>
        <w:t>JPMorgan</w:t>
      </w:r>
    </w:p>
    <w:p>
      <w:r>
        <w:rPr>
          <w:rFonts w:ascii="Aptos" w:hAnsi="Aptos"/>
          <w:b w:val="0"/>
          <w:i w:val="0"/>
          <w:color w:val="222222"/>
          <w:sz w:val="21"/>
        </w:rPr>
        <w:t>Average loans +10% YoY; investment-banking fees +30%; credit costs $2.5bn, including a small reserve build; full-year NII expectations raised.</w:t>
      </w:r>
    </w:p>
    <w:p>
      <w:pPr>
        <w:pStyle w:val="Heading2"/>
      </w:pPr>
      <w:r>
        <w:t>Bank of America</w:t>
      </w:r>
    </w:p>
    <w:p>
      <w:r>
        <w:rPr>
          <w:rFonts w:ascii="Aptos" w:hAnsi="Aptos"/>
          <w:b w:val="0"/>
          <w:i w:val="0"/>
          <w:color w:val="222222"/>
          <w:sz w:val="21"/>
        </w:rPr>
        <w:t>NII $16.0bn, +9%; average loans +8%; provision $1.4bn versus $1.6bn; charge-offs stable QoQ; investment banking and trading rose sharply.</w:t>
      </w:r>
    </w:p>
    <w:p>
      <w:pPr>
        <w:pStyle w:val="Heading2"/>
      </w:pPr>
      <w:r>
        <w:t>Goldman Sachs</w:t>
      </w:r>
    </w:p>
    <w:p>
      <w:r>
        <w:rPr>
          <w:rFonts w:ascii="Aptos" w:hAnsi="Aptos"/>
          <w:b w:val="0"/>
          <w:i w:val="0"/>
          <w:color w:val="222222"/>
          <w:sz w:val="21"/>
        </w:rPr>
        <w:t>EPS $20.98 and 23.5% ROE; investment-banking revenue +52%; NII +25%; provision down 38%.</w:t>
      </w:r>
    </w:p>
    <w:p>
      <w:pPr>
        <w:pStyle w:val="Heading2"/>
      </w:pPr>
      <w:r>
        <w:t>Morgan Stanley</w:t>
      </w:r>
    </w:p>
    <w:p>
      <w:r>
        <w:rPr>
          <w:rFonts w:ascii="Aptos" w:hAnsi="Aptos"/>
          <w:b w:val="0"/>
          <w:i w:val="0"/>
          <w:color w:val="222222"/>
          <w:sz w:val="21"/>
        </w:rPr>
        <w:t>Revenue $21.3bn; equities $6.3bn versus $3.7bn; investment banking $2.44bn versus $1.54bn; provision only $98m.</w:t>
      </w:r>
    </w:p>
    <w:p>
      <w:pPr>
        <w:pStyle w:val="Heading2"/>
      </w:pPr>
      <w:r>
        <w:t>Wells Fargo</w:t>
      </w:r>
    </w:p>
    <w:p>
      <w:r>
        <w:rPr>
          <w:rFonts w:ascii="Aptos" w:hAnsi="Aptos"/>
          <w:b w:val="0"/>
          <w:i w:val="0"/>
          <w:color w:val="222222"/>
          <w:sz w:val="21"/>
        </w:rPr>
        <w:t>Net income $6.4bn; revenue $22.6bn; average loans +12%; provision fell to $914m from $1.01bn.</w:t>
      </w:r>
    </w:p>
    <w:p>
      <w:pPr>
        <w:pStyle w:val="Heading2"/>
      </w:pPr>
      <w:r>
        <w:t>Citigroup</w:t>
      </w:r>
    </w:p>
    <w:p>
      <w:r>
        <w:rPr>
          <w:rFonts w:ascii="Aptos" w:hAnsi="Aptos"/>
          <w:b w:val="0"/>
          <w:i w:val="0"/>
          <w:color w:val="222222"/>
          <w:sz w:val="21"/>
        </w:rPr>
        <w:t>Best quarterly revenue in a decade: $24.8bn, +14%; net income +45%; Banking +34%, investment banking +44%, equities +45%.</w:t>
      </w:r>
    </w:p>
    <w:p>
      <w:pPr>
        <w:pStyle w:val="Heading2"/>
      </w:pPr>
      <w:r>
        <w:t>Common themes</w:t>
      </w:r>
    </w:p>
    <w:p>
      <w:pPr>
        <w:pStyle w:val="ListBullet"/>
      </w:pPr>
      <w:r>
        <w:rPr>
          <w:rFonts w:ascii="Aptos" w:hAnsi="Aptos"/>
          <w:b w:val="0"/>
          <w:i w:val="0"/>
          <w:color w:val="222222"/>
          <w:sz w:val="21"/>
        </w:rPr>
        <w:t>Loan growth accelerated.</w:t>
      </w:r>
    </w:p>
    <w:p>
      <w:pPr>
        <w:pStyle w:val="ListBullet"/>
      </w:pPr>
      <w:r>
        <w:rPr>
          <w:rFonts w:ascii="Aptos" w:hAnsi="Aptos"/>
          <w:b w:val="0"/>
          <w:i w:val="0"/>
          <w:color w:val="222222"/>
          <w:sz w:val="21"/>
        </w:rPr>
        <w:t>Fixed-rate asset repricing and deposit growth supported NII.</w:t>
      </w:r>
    </w:p>
    <w:p>
      <w:pPr>
        <w:pStyle w:val="ListBullet"/>
      </w:pPr>
      <w:r>
        <w:rPr>
          <w:rFonts w:ascii="Aptos" w:hAnsi="Aptos"/>
          <w:b w:val="0"/>
          <w:i w:val="0"/>
          <w:color w:val="222222"/>
          <w:sz w:val="21"/>
        </w:rPr>
        <w:t>Charge-offs and provisions were stable or improved.</w:t>
      </w:r>
    </w:p>
    <w:p>
      <w:pPr>
        <w:pStyle w:val="ListBullet"/>
      </w:pPr>
      <w:r>
        <w:rPr>
          <w:rFonts w:ascii="Aptos" w:hAnsi="Aptos"/>
          <w:b w:val="0"/>
          <w:i w:val="0"/>
          <w:color w:val="222222"/>
          <w:sz w:val="21"/>
        </w:rPr>
        <w:t>Equity trading and investment banking were the largest positive surprise.</w:t>
      </w:r>
    </w:p>
    <w:p>
      <w:pPr>
        <w:pStyle w:val="ListBullet"/>
      </w:pPr>
      <w:r>
        <w:rPr>
          <w:rFonts w:ascii="Aptos" w:hAnsi="Aptos"/>
          <w:b w:val="0"/>
          <w:i w:val="0"/>
          <w:color w:val="222222"/>
          <w:sz w:val="21"/>
        </w:rPr>
        <w:t>Management guidance was constructive but retained warnings about inflation, geopolitics and elevated asset values.</w:t>
      </w:r>
    </w:p>
    <w:p>
      <w:r>
        <w:rPr>
          <w:rFonts w:ascii="Aptos" w:hAnsi="Aptos"/>
          <w:b w:val="0"/>
          <w:i w:val="0"/>
          <w:color w:val="222222"/>
          <w:sz w:val="21"/>
        </w:rPr>
        <w:t>Conclusion: broad earnings confirmation, not merely accounting reserve releases.</w:t>
      </w:r>
    </w:p>
    <w:p>
      <w:pPr>
        <w:pStyle w:val="Heading1"/>
      </w:pPr>
      <w:r>
        <w:t>6. Commercial Real Estate</w:t>
      </w:r>
    </w:p>
    <w:p>
      <w:pPr>
        <w:pStyle w:val="ListBullet"/>
      </w:pPr>
      <w:r>
        <w:rPr>
          <w:rFonts w:ascii="Aptos" w:hAnsi="Aptos"/>
          <w:b w:val="0"/>
          <w:i w:val="0"/>
          <w:color w:val="222222"/>
          <w:sz w:val="21"/>
        </w:rPr>
        <w:t>Overall CMBS delinquency eased 20 bp in June to 7.35%, but remained historically high.</w:t>
      </w:r>
    </w:p>
    <w:p>
      <w:pPr>
        <w:pStyle w:val="ListBullet"/>
      </w:pPr>
      <w:r>
        <w:rPr>
          <w:rFonts w:ascii="Aptos" w:hAnsi="Aptos"/>
          <w:b w:val="0"/>
          <w:i w:val="0"/>
          <w:color w:val="222222"/>
          <w:sz w:val="21"/>
        </w:rPr>
        <w:t>Including current loans that failed to repay at maturity, the rate would be 9.53%; refinancing is the central problem.</w:t>
      </w:r>
    </w:p>
    <w:p>
      <w:pPr>
        <w:pStyle w:val="ListBullet"/>
      </w:pPr>
      <w:r>
        <w:rPr>
          <w:rFonts w:ascii="Aptos" w:hAnsi="Aptos"/>
          <w:b w:val="0"/>
          <w:i w:val="0"/>
          <w:color w:val="222222"/>
          <w:sz w:val="21"/>
        </w:rPr>
        <w:t>Nonperforming matured balloons represented 65% of newly delinquent balances.</w:t>
      </w:r>
    </w:p>
    <w:p>
      <w:pPr>
        <w:pStyle w:val="ListBullet"/>
      </w:pPr>
      <w:r>
        <w:rPr>
          <w:rFonts w:ascii="Aptos" w:hAnsi="Aptos"/>
          <w:b w:val="0"/>
          <w:i w:val="0"/>
          <w:color w:val="222222"/>
          <w:sz w:val="21"/>
        </w:rPr>
        <w:t>July KBRA private-label CMBS delinquency rose to 7.8%; office distress remained about 17.2%.</w:t>
      </w:r>
    </w:p>
    <w:p>
      <w:pPr>
        <w:pStyle w:val="ListBullet"/>
      </w:pPr>
      <w:r>
        <w:rPr>
          <w:rFonts w:ascii="Aptos" w:hAnsi="Aptos"/>
          <w:b w:val="0"/>
          <w:i w:val="0"/>
          <w:color w:val="222222"/>
          <w:sz w:val="21"/>
        </w:rPr>
        <w:t>FDIC Q1 bank data showed nonfarm nonresidential loans about 1.30% noncurrent overall, below securitized-market stress.</w:t>
      </w:r>
    </w:p>
    <w:p>
      <w:r>
        <w:rPr>
          <w:rFonts w:ascii="Aptos" w:hAnsi="Aptos"/>
          <w:b w:val="0"/>
          <w:i w:val="0"/>
          <w:color w:val="222222"/>
          <w:sz w:val="21"/>
        </w:rPr>
        <w:t>CRE is not presently systemic: losses remain concentrated, large banks can absorb write-downs, and workouts spread recognition over time. It remains a possible regional-bank accident because higher-for-longer yields impair refinancing at original valuations. The base case is a slow capital drag punctuated by idiosyncratic failures, not a 2008-style collapse.</w:t>
      </w:r>
    </w:p>
    <w:p>
      <w:pPr>
        <w:pStyle w:val="Heading1"/>
      </w:pPr>
      <w:r>
        <w:t>7. Market Breadth Confirmation</w:t>
      </w:r>
    </w:p>
    <w:tbl>
      <w:tblPr>
        <w:tblStyle w:val="TableGrid"/>
        <w:tblW w:type="dxa" w:w="9360"/>
        <w:jc w:val="left"/>
        <w:tblLayout w:type="fixed"/>
        <w:tblLook w:firstColumn="1" w:firstRow="1" w:lastColumn="0" w:lastRow="0" w:noHBand="0" w:noVBand="1" w:val="04A0"/>
        <w:tblInd w:w="120" w:type="dxa"/>
      </w:tblPr>
      <w:tblGrid>
        <w:gridCol w:w="2100"/>
        <w:gridCol w:w="2200"/>
        <w:gridCol w:w="5060"/>
      </w:tblGrid>
      <w:tr>
        <w:tc>
          <w:tcPr>
            <w:tcW w:type="dxa" w:w="2100"/>
            <w:shd w:fill="1F4E79"/>
            <w:tcMar>
              <w:top w:w="90" w:type="dxa"/>
              <w:start w:w="110" w:type="dxa"/>
              <w:bottom w:w="90" w:type="dxa"/>
              <w:end w:w="110" w:type="dxa"/>
            </w:tcMar>
            <w:vAlign w:val="center"/>
          </w:tcPr>
          <w:p>
            <w:pPr>
              <w:jc w:val="left"/>
            </w:pPr>
            <w:r>
              <w:rPr>
                <w:rFonts w:ascii="Aptos" w:hAnsi="Aptos"/>
                <w:b/>
                <w:i w:val="0"/>
                <w:color w:val="FFFFFF"/>
                <w:sz w:val="17"/>
              </w:rPr>
              <w:t>Segment</w:t>
            </w:r>
          </w:p>
        </w:tc>
        <w:tc>
          <w:tcPr>
            <w:tcW w:type="dxa" w:w="2200"/>
            <w:shd w:fill="1F4E79"/>
            <w:tcMar>
              <w:top w:w="90" w:type="dxa"/>
              <w:start w:w="110" w:type="dxa"/>
              <w:bottom w:w="90" w:type="dxa"/>
              <w:end w:w="110" w:type="dxa"/>
            </w:tcMar>
            <w:vAlign w:val="center"/>
          </w:tcPr>
          <w:p>
            <w:pPr>
              <w:jc w:val="left"/>
            </w:pPr>
            <w:r>
              <w:rPr>
                <w:rFonts w:ascii="Aptos" w:hAnsi="Aptos"/>
                <w:b/>
                <w:i w:val="0"/>
                <w:color w:val="FFFFFF"/>
                <w:sz w:val="17"/>
              </w:rPr>
              <w:t>Confirmation</w:t>
            </w:r>
          </w:p>
        </w:tc>
        <w:tc>
          <w:tcPr>
            <w:tcW w:type="dxa" w:w="5060"/>
            <w:shd w:fill="1F4E79"/>
            <w:tcMar>
              <w:top w:w="90" w:type="dxa"/>
              <w:start w:w="110" w:type="dxa"/>
              <w:bottom w:w="90" w:type="dxa"/>
              <w:end w:w="110" w:type="dxa"/>
            </w:tcMar>
            <w:vAlign w:val="center"/>
          </w:tcPr>
          <w:p>
            <w:pPr>
              <w:jc w:val="left"/>
            </w:pPr>
            <w:r>
              <w:rPr>
                <w:rFonts w:ascii="Aptos" w:hAnsi="Aptos"/>
                <w:b/>
                <w:i w:val="0"/>
                <w:color w:val="FFFFFF"/>
                <w:sz w:val="17"/>
              </w:rPr>
              <w:t>Change</w:t>
            </w:r>
          </w:p>
        </w:tc>
      </w:tr>
      <w:tr>
        <w:tc>
          <w:tcPr>
            <w:tcW w:type="dxa" w:w="2100"/>
            <w:tcMar>
              <w:top w:w="90" w:type="dxa"/>
              <w:start w:w="110" w:type="dxa"/>
              <w:bottom w:w="90" w:type="dxa"/>
              <w:end w:w="110" w:type="dxa"/>
            </w:tcMar>
            <w:vAlign w:val="center"/>
          </w:tcPr>
          <w:p>
            <w:pPr>
              <w:spacing w:after="0"/>
            </w:pPr>
            <w:r>
              <w:rPr>
                <w:rFonts w:ascii="Aptos" w:hAnsi="Aptos"/>
                <w:b w:val="0"/>
                <w:i w:val="0"/>
                <w:color w:val="222222"/>
                <w:sz w:val="17"/>
              </w:rPr>
              <w:t>Industrials</w:t>
            </w:r>
          </w:p>
        </w:tc>
        <w:tc>
          <w:tcPr>
            <w:tcW w:type="dxa" w:w="2200"/>
            <w:tcMar>
              <w:top w:w="90" w:type="dxa"/>
              <w:start w:w="110" w:type="dxa"/>
              <w:bottom w:w="90" w:type="dxa"/>
              <w:end w:w="110" w:type="dxa"/>
            </w:tcMar>
            <w:vAlign w:val="center"/>
          </w:tcPr>
          <w:p>
            <w:pPr>
              <w:spacing w:after="0"/>
            </w:pPr>
            <w:r>
              <w:rPr>
                <w:rFonts w:ascii="Aptos" w:hAnsi="Aptos"/>
                <w:b w:val="0"/>
                <w:i w:val="0"/>
                <w:color w:val="222222"/>
                <w:sz w:val="17"/>
              </w:rPr>
              <w:t>Yes</w:t>
            </w:r>
          </w:p>
        </w:tc>
        <w:tc>
          <w:tcPr>
            <w:tcW w:type="dxa" w:w="5060"/>
            <w:tcMar>
              <w:top w:w="90" w:type="dxa"/>
              <w:start w:w="110" w:type="dxa"/>
              <w:bottom w:w="90" w:type="dxa"/>
              <w:end w:w="110" w:type="dxa"/>
            </w:tcMar>
            <w:vAlign w:val="center"/>
          </w:tcPr>
          <w:p>
            <w:pPr>
              <w:spacing w:after="0"/>
            </w:pPr>
            <w:r>
              <w:rPr>
                <w:rFonts w:ascii="Aptos" w:hAnsi="Aptos"/>
                <w:b w:val="0"/>
                <w:i w:val="0"/>
                <w:color w:val="222222"/>
                <w:sz w:val="17"/>
              </w:rPr>
              <w:t>Strong Q2 participation</w:t>
            </w:r>
          </w:p>
        </w:tc>
      </w:tr>
      <w:tr>
        <w:tc>
          <w:tcPr>
            <w:tcW w:type="dxa" w:w="2100"/>
            <w:shd w:fill="F4F6F8"/>
            <w:tcMar>
              <w:top w:w="90" w:type="dxa"/>
              <w:start w:w="110" w:type="dxa"/>
              <w:bottom w:w="90" w:type="dxa"/>
              <w:end w:w="110" w:type="dxa"/>
            </w:tcMar>
            <w:vAlign w:val="center"/>
          </w:tcPr>
          <w:p>
            <w:pPr>
              <w:spacing w:after="0"/>
            </w:pPr>
            <w:r>
              <w:rPr>
                <w:rFonts w:ascii="Aptos" w:hAnsi="Aptos"/>
                <w:b w:val="0"/>
                <w:i w:val="0"/>
                <w:color w:val="222222"/>
                <w:sz w:val="17"/>
              </w:rPr>
              <w:t>Capital goods</w:t>
            </w:r>
          </w:p>
        </w:tc>
        <w:tc>
          <w:tcPr>
            <w:tcW w:type="dxa" w:w="2200"/>
            <w:shd w:fill="F4F6F8"/>
            <w:tcMar>
              <w:top w:w="90" w:type="dxa"/>
              <w:start w:w="110" w:type="dxa"/>
              <w:bottom w:w="90" w:type="dxa"/>
              <w:end w:w="110" w:type="dxa"/>
            </w:tcMar>
            <w:vAlign w:val="center"/>
          </w:tcPr>
          <w:p>
            <w:pPr>
              <w:spacing w:after="0"/>
            </w:pPr>
            <w:r>
              <w:rPr>
                <w:rFonts w:ascii="Aptos" w:hAnsi="Aptos"/>
                <w:b w:val="0"/>
                <w:i w:val="0"/>
                <w:color w:val="222222"/>
                <w:sz w:val="17"/>
              </w:rPr>
              <w:t>Yes</w:t>
            </w:r>
          </w:p>
        </w:tc>
        <w:tc>
          <w:tcPr>
            <w:tcW w:type="dxa" w:w="5060"/>
            <w:shd w:fill="F4F6F8"/>
            <w:tcMar>
              <w:top w:w="90" w:type="dxa"/>
              <w:start w:w="110" w:type="dxa"/>
              <w:bottom w:w="90" w:type="dxa"/>
              <w:end w:w="110" w:type="dxa"/>
            </w:tcMar>
            <w:vAlign w:val="center"/>
          </w:tcPr>
          <w:p>
            <w:pPr>
              <w:spacing w:after="0"/>
            </w:pPr>
            <w:r>
              <w:rPr>
                <w:rFonts w:ascii="Aptos" w:hAnsi="Aptos"/>
                <w:b w:val="0"/>
                <w:i w:val="0"/>
                <w:color w:val="222222"/>
                <w:sz w:val="17"/>
              </w:rPr>
              <w:t>Infrastructure, defense and data-centre investment</w:t>
            </w:r>
          </w:p>
        </w:tc>
      </w:tr>
      <w:tr>
        <w:tc>
          <w:tcPr>
            <w:tcW w:type="dxa" w:w="2100"/>
            <w:tcMar>
              <w:top w:w="90" w:type="dxa"/>
              <w:start w:w="110" w:type="dxa"/>
              <w:bottom w:w="90" w:type="dxa"/>
              <w:end w:w="110" w:type="dxa"/>
            </w:tcMar>
            <w:vAlign w:val="center"/>
          </w:tcPr>
          <w:p>
            <w:pPr>
              <w:spacing w:after="0"/>
            </w:pPr>
            <w:r>
              <w:rPr>
                <w:rFonts w:ascii="Aptos" w:hAnsi="Aptos"/>
                <w:b w:val="0"/>
                <w:i w:val="0"/>
                <w:color w:val="222222"/>
                <w:sz w:val="17"/>
              </w:rPr>
              <w:t>Transportation</w:t>
            </w:r>
          </w:p>
        </w:tc>
        <w:tc>
          <w:tcPr>
            <w:tcW w:type="dxa" w:w="2200"/>
            <w:tcMar>
              <w:top w:w="90" w:type="dxa"/>
              <w:start w:w="110" w:type="dxa"/>
              <w:bottom w:w="90" w:type="dxa"/>
              <w:end w:w="110" w:type="dxa"/>
            </w:tcMar>
            <w:vAlign w:val="center"/>
          </w:tcPr>
          <w:p>
            <w:pPr>
              <w:spacing w:after="0"/>
            </w:pPr>
            <w:r>
              <w:rPr>
                <w:rFonts w:ascii="Aptos" w:hAnsi="Aptos"/>
                <w:b w:val="0"/>
                <w:i w:val="0"/>
                <w:color w:val="222222"/>
                <w:sz w:val="17"/>
              </w:rPr>
              <w:t>Partial</w:t>
            </w:r>
          </w:p>
        </w:tc>
        <w:tc>
          <w:tcPr>
            <w:tcW w:type="dxa" w:w="5060"/>
            <w:tcMar>
              <w:top w:w="90" w:type="dxa"/>
              <w:start w:w="110" w:type="dxa"/>
              <w:bottom w:w="90" w:type="dxa"/>
              <w:end w:w="110" w:type="dxa"/>
            </w:tcMar>
            <w:vAlign w:val="center"/>
          </w:tcPr>
          <w:p>
            <w:pPr>
              <w:spacing w:after="0"/>
            </w:pPr>
            <w:r>
              <w:rPr>
                <w:rFonts w:ascii="Aptos" w:hAnsi="Aptos"/>
                <w:b w:val="0"/>
                <w:i w:val="0"/>
                <w:color w:val="222222"/>
                <w:sz w:val="17"/>
              </w:rPr>
              <w:t>Cyclical and fuel-sensitive; weaker than industrials</w:t>
            </w:r>
          </w:p>
        </w:tc>
      </w:tr>
      <w:tr>
        <w:tc>
          <w:tcPr>
            <w:tcW w:type="dxa" w:w="2100"/>
            <w:shd w:fill="F4F6F8"/>
            <w:tcMar>
              <w:top w:w="90" w:type="dxa"/>
              <w:start w:w="110" w:type="dxa"/>
              <w:bottom w:w="90" w:type="dxa"/>
              <w:end w:w="110" w:type="dxa"/>
            </w:tcMar>
            <w:vAlign w:val="center"/>
          </w:tcPr>
          <w:p>
            <w:pPr>
              <w:spacing w:after="0"/>
            </w:pPr>
            <w:r>
              <w:rPr>
                <w:rFonts w:ascii="Aptos" w:hAnsi="Aptos"/>
                <w:b w:val="0"/>
                <w:i w:val="0"/>
                <w:color w:val="222222"/>
                <w:sz w:val="17"/>
              </w:rPr>
              <w:t>Small caps</w:t>
            </w:r>
          </w:p>
        </w:tc>
        <w:tc>
          <w:tcPr>
            <w:tcW w:type="dxa" w:w="2200"/>
            <w:shd w:fill="F4F6F8"/>
            <w:tcMar>
              <w:top w:w="90" w:type="dxa"/>
              <w:start w:w="110" w:type="dxa"/>
              <w:bottom w:w="90" w:type="dxa"/>
              <w:end w:w="110" w:type="dxa"/>
            </w:tcMar>
            <w:vAlign w:val="center"/>
          </w:tcPr>
          <w:p>
            <w:pPr>
              <w:spacing w:after="0"/>
            </w:pPr>
            <w:r>
              <w:rPr>
                <w:rFonts w:ascii="Aptos" w:hAnsi="Aptos"/>
                <w:b w:val="0"/>
                <w:i w:val="0"/>
                <w:color w:val="222222"/>
                <w:sz w:val="17"/>
              </w:rPr>
              <w:t>Yes, recently</w:t>
            </w:r>
          </w:p>
        </w:tc>
        <w:tc>
          <w:tcPr>
            <w:tcW w:type="dxa" w:w="5060"/>
            <w:shd w:fill="F4F6F8"/>
            <w:tcMar>
              <w:top w:w="90" w:type="dxa"/>
              <w:start w:w="110" w:type="dxa"/>
              <w:bottom w:w="90" w:type="dxa"/>
              <w:end w:w="110" w:type="dxa"/>
            </w:tcMar>
            <w:vAlign w:val="center"/>
          </w:tcPr>
          <w:p>
            <w:pPr>
              <w:spacing w:after="0"/>
            </w:pPr>
            <w:r>
              <w:rPr>
                <w:rFonts w:ascii="Aptos" w:hAnsi="Aptos"/>
                <w:b w:val="0"/>
                <w:i w:val="0"/>
                <w:color w:val="222222"/>
                <w:sz w:val="17"/>
              </w:rPr>
              <w:t>Strong Q2 rebound after Q1 weakness</w:t>
            </w:r>
          </w:p>
        </w:tc>
      </w:tr>
      <w:tr>
        <w:tc>
          <w:tcPr>
            <w:tcW w:type="dxa" w:w="2100"/>
            <w:tcMar>
              <w:top w:w="90" w:type="dxa"/>
              <w:start w:w="110" w:type="dxa"/>
              <w:bottom w:w="90" w:type="dxa"/>
              <w:end w:w="110" w:type="dxa"/>
            </w:tcMar>
            <w:vAlign w:val="center"/>
          </w:tcPr>
          <w:p>
            <w:pPr>
              <w:spacing w:after="0"/>
            </w:pPr>
            <w:r>
              <w:rPr>
                <w:rFonts w:ascii="Aptos" w:hAnsi="Aptos"/>
                <w:b w:val="0"/>
                <w:i w:val="0"/>
                <w:color w:val="222222"/>
                <w:sz w:val="17"/>
              </w:rPr>
              <w:t>Homebuilders</w:t>
            </w:r>
          </w:p>
        </w:tc>
        <w:tc>
          <w:tcPr>
            <w:tcW w:type="dxa" w:w="2200"/>
            <w:tcMar>
              <w:top w:w="90" w:type="dxa"/>
              <w:start w:w="110" w:type="dxa"/>
              <w:bottom w:w="90" w:type="dxa"/>
              <w:end w:w="110" w:type="dxa"/>
            </w:tcMar>
            <w:vAlign w:val="center"/>
          </w:tcPr>
          <w:p>
            <w:pPr>
              <w:spacing w:after="0"/>
            </w:pPr>
            <w:r>
              <w:rPr>
                <w:rFonts w:ascii="Aptos" w:hAnsi="Aptos"/>
                <w:b w:val="0"/>
                <w:i w:val="0"/>
                <w:color w:val="222222"/>
                <w:sz w:val="17"/>
              </w:rPr>
              <w:t>Mixed</w:t>
            </w:r>
          </w:p>
        </w:tc>
        <w:tc>
          <w:tcPr>
            <w:tcW w:type="dxa" w:w="5060"/>
            <w:tcMar>
              <w:top w:w="90" w:type="dxa"/>
              <w:start w:w="110" w:type="dxa"/>
              <w:bottom w:w="90" w:type="dxa"/>
              <w:end w:w="110" w:type="dxa"/>
            </w:tcMar>
            <w:vAlign w:val="center"/>
          </w:tcPr>
          <w:p>
            <w:pPr>
              <w:spacing w:after="0"/>
            </w:pPr>
            <w:r>
              <w:rPr>
                <w:rFonts w:ascii="Aptos" w:hAnsi="Aptos"/>
                <w:b w:val="0"/>
                <w:i w:val="0"/>
                <w:color w:val="222222"/>
                <w:sz w:val="17"/>
              </w:rPr>
              <w:t>Shortages help; long yields hurt affordability</w:t>
            </w:r>
          </w:p>
        </w:tc>
      </w:tr>
      <w:tr>
        <w:tc>
          <w:tcPr>
            <w:tcW w:type="dxa" w:w="2100"/>
            <w:shd w:fill="F4F6F8"/>
            <w:tcMar>
              <w:top w:w="90" w:type="dxa"/>
              <w:start w:w="110" w:type="dxa"/>
              <w:bottom w:w="90" w:type="dxa"/>
              <w:end w:w="110" w:type="dxa"/>
            </w:tcMar>
            <w:vAlign w:val="center"/>
          </w:tcPr>
          <w:p>
            <w:pPr>
              <w:spacing w:after="0"/>
            </w:pPr>
            <w:r>
              <w:rPr>
                <w:rFonts w:ascii="Aptos" w:hAnsi="Aptos"/>
                <w:b w:val="0"/>
                <w:i w:val="0"/>
                <w:color w:val="222222"/>
                <w:sz w:val="17"/>
              </w:rPr>
              <w:t>Consumer discretionary</w:t>
            </w:r>
          </w:p>
        </w:tc>
        <w:tc>
          <w:tcPr>
            <w:tcW w:type="dxa" w:w="2200"/>
            <w:shd w:fill="F4F6F8"/>
            <w:tcMar>
              <w:top w:w="90" w:type="dxa"/>
              <w:start w:w="110" w:type="dxa"/>
              <w:bottom w:w="90" w:type="dxa"/>
              <w:end w:w="110" w:type="dxa"/>
            </w:tcMar>
            <w:vAlign w:val="center"/>
          </w:tcPr>
          <w:p>
            <w:pPr>
              <w:spacing w:after="0"/>
            </w:pPr>
            <w:r>
              <w:rPr>
                <w:rFonts w:ascii="Aptos" w:hAnsi="Aptos"/>
                <w:b w:val="0"/>
                <w:i w:val="0"/>
                <w:color w:val="222222"/>
                <w:sz w:val="17"/>
              </w:rPr>
              <w:t>Yes at index level</w:t>
            </w:r>
          </w:p>
        </w:tc>
        <w:tc>
          <w:tcPr>
            <w:tcW w:type="dxa" w:w="5060"/>
            <w:shd w:fill="F4F6F8"/>
            <w:tcMar>
              <w:top w:w="90" w:type="dxa"/>
              <w:start w:w="110" w:type="dxa"/>
              <w:bottom w:w="90" w:type="dxa"/>
              <w:end w:w="110" w:type="dxa"/>
            </w:tcMar>
            <w:vAlign w:val="center"/>
          </w:tcPr>
          <w:p>
            <w:pPr>
              <w:spacing w:after="0"/>
            </w:pPr>
            <w:r>
              <w:rPr>
                <w:rFonts w:ascii="Aptos" w:hAnsi="Aptos"/>
                <w:b w:val="0"/>
                <w:i w:val="0"/>
                <w:color w:val="222222"/>
                <w:sz w:val="17"/>
              </w:rPr>
              <w:t>Lower-income consumer remains pressured</w:t>
            </w:r>
          </w:p>
        </w:tc>
      </w:tr>
    </w:tbl>
    <w:p>
      <w:pPr>
        <w:spacing w:after="20"/>
      </w:pPr>
    </w:p>
    <w:p>
      <w:r>
        <w:rPr>
          <w:rFonts w:ascii="Aptos" w:hAnsi="Aptos"/>
          <w:b w:val="0"/>
          <w:i w:val="0"/>
          <w:color w:val="222222"/>
          <w:sz w:val="21"/>
        </w:rPr>
        <w:t>Nine of 11 S&amp;P sectors rose in Q2, while small-cap technology, industrials, discretionary and financials posted strong gains. Breadth is broadening, not narrowing, although technology still contributed disproportionately and transports and housing do not provide a clean cyclical all-clear.</w:t>
      </w:r>
    </w:p>
    <w:p>
      <w:r>
        <w:br w:type="page"/>
      </w:r>
    </w:p>
    <w:p>
      <w:pPr>
        <w:pStyle w:val="Heading1"/>
      </w:pPr>
      <w:r>
        <w:t>8. Five Risks to the Rally</w:t>
      </w:r>
    </w:p>
    <w:tbl>
      <w:tblPr>
        <w:tblStyle w:val="TableGrid"/>
        <w:tblW w:type="dxa" w:w="9360"/>
        <w:jc w:val="left"/>
        <w:tblLayout w:type="fixed"/>
        <w:tblLook w:firstColumn="1" w:firstRow="1" w:lastColumn="0" w:lastRow="0" w:noHBand="0" w:noVBand="1" w:val="04A0"/>
        <w:tblInd w:w="120" w:type="dxa"/>
      </w:tblPr>
      <w:tblGrid>
        <w:gridCol w:w="3300"/>
        <w:gridCol w:w="1500"/>
        <w:gridCol w:w="1700"/>
        <w:gridCol w:w="2860"/>
      </w:tblGrid>
      <w:tr>
        <w:tc>
          <w:tcPr>
            <w:tcW w:type="dxa" w:w="3300"/>
            <w:shd w:fill="1F4E79"/>
            <w:tcMar>
              <w:top w:w="90" w:type="dxa"/>
              <w:start w:w="110" w:type="dxa"/>
              <w:bottom w:w="90" w:type="dxa"/>
              <w:end w:w="110" w:type="dxa"/>
            </w:tcMar>
            <w:vAlign w:val="center"/>
          </w:tcPr>
          <w:p>
            <w:pPr>
              <w:jc w:val="left"/>
            </w:pPr>
            <w:r>
              <w:rPr>
                <w:rFonts w:ascii="Aptos" w:hAnsi="Aptos"/>
                <w:b/>
                <w:i w:val="0"/>
                <w:color w:val="FFFFFF"/>
                <w:sz w:val="16"/>
              </w:rPr>
              <w:t>Risk</w:t>
            </w:r>
          </w:p>
        </w:tc>
        <w:tc>
          <w:tcPr>
            <w:tcW w:type="dxa" w:w="1500"/>
            <w:shd w:fill="1F4E79"/>
            <w:tcMar>
              <w:top w:w="90" w:type="dxa"/>
              <w:start w:w="110" w:type="dxa"/>
              <w:bottom w:w="90" w:type="dxa"/>
              <w:end w:w="110" w:type="dxa"/>
            </w:tcMar>
            <w:vAlign w:val="center"/>
          </w:tcPr>
          <w:p>
            <w:pPr>
              <w:jc w:val="left"/>
            </w:pPr>
            <w:r>
              <w:rPr>
                <w:rFonts w:ascii="Aptos" w:hAnsi="Aptos"/>
                <w:b/>
                <w:i w:val="0"/>
                <w:color w:val="FFFFFF"/>
                <w:sz w:val="16"/>
              </w:rPr>
              <w:t>Probability</w:t>
            </w:r>
          </w:p>
        </w:tc>
        <w:tc>
          <w:tcPr>
            <w:tcW w:type="dxa" w:w="1700"/>
            <w:shd w:fill="1F4E79"/>
            <w:tcMar>
              <w:top w:w="90" w:type="dxa"/>
              <w:start w:w="110" w:type="dxa"/>
              <w:bottom w:w="90" w:type="dxa"/>
              <w:end w:w="110" w:type="dxa"/>
            </w:tcMar>
            <w:vAlign w:val="center"/>
          </w:tcPr>
          <w:p>
            <w:pPr>
              <w:jc w:val="left"/>
            </w:pPr>
            <w:r>
              <w:rPr>
                <w:rFonts w:ascii="Aptos" w:hAnsi="Aptos"/>
                <w:b/>
                <w:i w:val="0"/>
                <w:color w:val="FFFFFF"/>
                <w:sz w:val="16"/>
              </w:rPr>
              <w:t>Impact</w:t>
            </w:r>
          </w:p>
        </w:tc>
        <w:tc>
          <w:tcPr>
            <w:tcW w:type="dxa" w:w="2860"/>
            <w:shd w:fill="1F4E79"/>
            <w:tcMar>
              <w:top w:w="90" w:type="dxa"/>
              <w:start w:w="110" w:type="dxa"/>
              <w:bottom w:w="90" w:type="dxa"/>
              <w:end w:w="110" w:type="dxa"/>
            </w:tcMar>
            <w:vAlign w:val="center"/>
          </w:tcPr>
          <w:p>
            <w:pPr>
              <w:jc w:val="left"/>
            </w:pPr>
            <w:r>
              <w:rPr>
                <w:rFonts w:ascii="Aptos" w:hAnsi="Aptos"/>
                <w:b/>
                <w:i w:val="0"/>
                <w:color w:val="FFFFFF"/>
                <w:sz w:val="16"/>
              </w:rPr>
              <w:t>Timing / transmission</w:t>
            </w:r>
          </w:p>
        </w:tc>
      </w:tr>
      <w:tr>
        <w:tc>
          <w:tcPr>
            <w:tcW w:type="dxa" w:w="3300"/>
            <w:tcMar>
              <w:top w:w="90" w:type="dxa"/>
              <w:start w:w="110" w:type="dxa"/>
              <w:bottom w:w="90" w:type="dxa"/>
              <w:end w:w="110" w:type="dxa"/>
            </w:tcMar>
            <w:vAlign w:val="center"/>
          </w:tcPr>
          <w:p>
            <w:pPr>
              <w:spacing w:after="0"/>
            </w:pPr>
            <w:r>
              <w:rPr>
                <w:rFonts w:ascii="Aptos" w:hAnsi="Aptos"/>
                <w:b w:val="0"/>
                <w:i w:val="0"/>
                <w:color w:val="222222"/>
                <w:sz w:val="16"/>
              </w:rPr>
              <w:t>10Y exceeds ~5% on inflation/fiscal supply</w:t>
            </w:r>
          </w:p>
        </w:tc>
        <w:tc>
          <w:tcPr>
            <w:tcW w:type="dxa" w:w="1500"/>
            <w:tcMar>
              <w:top w:w="90" w:type="dxa"/>
              <w:start w:w="110" w:type="dxa"/>
              <w:bottom w:w="90" w:type="dxa"/>
              <w:end w:w="110" w:type="dxa"/>
            </w:tcMar>
            <w:vAlign w:val="center"/>
          </w:tcPr>
          <w:p>
            <w:pPr>
              <w:spacing w:after="0"/>
            </w:pPr>
            <w:r>
              <w:rPr>
                <w:rFonts w:ascii="Aptos" w:hAnsi="Aptos"/>
                <w:b w:val="0"/>
                <w:i w:val="0"/>
                <w:color w:val="222222"/>
                <w:sz w:val="16"/>
              </w:rPr>
              <w:t>35%</w:t>
            </w:r>
          </w:p>
        </w:tc>
        <w:tc>
          <w:tcPr>
            <w:tcW w:type="dxa" w:w="1700"/>
            <w:tcMar>
              <w:top w:w="90" w:type="dxa"/>
              <w:start w:w="110" w:type="dxa"/>
              <w:bottom w:w="90" w:type="dxa"/>
              <w:end w:w="110" w:type="dxa"/>
            </w:tcMar>
            <w:vAlign w:val="center"/>
          </w:tcPr>
          <w:p>
            <w:pPr>
              <w:spacing w:after="0"/>
            </w:pPr>
            <w:r>
              <w:rPr>
                <w:rFonts w:ascii="Aptos" w:hAnsi="Aptos"/>
                <w:b w:val="0"/>
                <w:i w:val="0"/>
                <w:color w:val="222222"/>
                <w:sz w:val="16"/>
              </w:rPr>
              <w:t>High</w:t>
            </w:r>
          </w:p>
        </w:tc>
        <w:tc>
          <w:tcPr>
            <w:tcW w:type="dxa" w:w="2860"/>
            <w:tcMar>
              <w:top w:w="90" w:type="dxa"/>
              <w:start w:w="110" w:type="dxa"/>
              <w:bottom w:w="90" w:type="dxa"/>
              <w:end w:w="110" w:type="dxa"/>
            </w:tcMar>
            <w:vAlign w:val="center"/>
          </w:tcPr>
          <w:p>
            <w:pPr>
              <w:spacing w:after="0"/>
            </w:pPr>
            <w:r>
              <w:rPr>
                <w:rFonts w:ascii="Aptos" w:hAnsi="Aptos"/>
                <w:b w:val="0"/>
                <w:i w:val="0"/>
                <w:color w:val="222222"/>
                <w:sz w:val="16"/>
              </w:rPr>
              <w:t>Immediate pressure on CRE, housing and duration</w:t>
            </w:r>
          </w:p>
        </w:tc>
      </w:tr>
      <w:tr>
        <w:tc>
          <w:tcPr>
            <w:tcW w:type="dxa" w:w="3300"/>
            <w:shd w:fill="F4F6F8"/>
            <w:tcMar>
              <w:top w:w="90" w:type="dxa"/>
              <w:start w:w="110" w:type="dxa"/>
              <w:bottom w:w="90" w:type="dxa"/>
              <w:end w:w="110" w:type="dxa"/>
            </w:tcMar>
            <w:vAlign w:val="center"/>
          </w:tcPr>
          <w:p>
            <w:pPr>
              <w:spacing w:after="0"/>
            </w:pPr>
            <w:r>
              <w:rPr>
                <w:rFonts w:ascii="Aptos" w:hAnsi="Aptos"/>
                <w:b w:val="0"/>
                <w:i w:val="0"/>
                <w:color w:val="222222"/>
                <w:sz w:val="16"/>
              </w:rPr>
              <w:t>HY OAS reprices above 400 bp</w:t>
            </w:r>
          </w:p>
        </w:tc>
        <w:tc>
          <w:tcPr>
            <w:tcW w:type="dxa" w:w="1500"/>
            <w:shd w:fill="F4F6F8"/>
            <w:tcMar>
              <w:top w:w="90" w:type="dxa"/>
              <w:start w:w="110" w:type="dxa"/>
              <w:bottom w:w="90" w:type="dxa"/>
              <w:end w:w="110" w:type="dxa"/>
            </w:tcMar>
            <w:vAlign w:val="center"/>
          </w:tcPr>
          <w:p>
            <w:pPr>
              <w:spacing w:after="0"/>
            </w:pPr>
            <w:r>
              <w:rPr>
                <w:rFonts w:ascii="Aptos" w:hAnsi="Aptos"/>
                <w:b w:val="0"/>
                <w:i w:val="0"/>
                <w:color w:val="222222"/>
                <w:sz w:val="16"/>
              </w:rPr>
              <w:t>25%</w:t>
            </w:r>
          </w:p>
        </w:tc>
        <w:tc>
          <w:tcPr>
            <w:tcW w:type="dxa" w:w="1700"/>
            <w:shd w:fill="F4F6F8"/>
            <w:tcMar>
              <w:top w:w="90" w:type="dxa"/>
              <w:start w:w="110" w:type="dxa"/>
              <w:bottom w:w="90" w:type="dxa"/>
              <w:end w:w="110" w:type="dxa"/>
            </w:tcMar>
            <w:vAlign w:val="center"/>
          </w:tcPr>
          <w:p>
            <w:pPr>
              <w:spacing w:after="0"/>
            </w:pPr>
            <w:r>
              <w:rPr>
                <w:rFonts w:ascii="Aptos" w:hAnsi="Aptos"/>
                <w:b w:val="0"/>
                <w:i w:val="0"/>
                <w:color w:val="222222"/>
                <w:sz w:val="16"/>
              </w:rPr>
              <w:t>High</w:t>
            </w:r>
          </w:p>
        </w:tc>
        <w:tc>
          <w:tcPr>
            <w:tcW w:type="dxa" w:w="2860"/>
            <w:shd w:fill="F4F6F8"/>
            <w:tcMar>
              <w:top w:w="90" w:type="dxa"/>
              <w:start w:w="110" w:type="dxa"/>
              <w:bottom w:w="90" w:type="dxa"/>
              <w:end w:w="110" w:type="dxa"/>
            </w:tcMar>
            <w:vAlign w:val="center"/>
          </w:tcPr>
          <w:p>
            <w:pPr>
              <w:spacing w:after="0"/>
            </w:pPr>
            <w:r>
              <w:rPr>
                <w:rFonts w:ascii="Aptos" w:hAnsi="Aptos"/>
                <w:b w:val="0"/>
                <w:i w:val="0"/>
                <w:color w:val="222222"/>
                <w:sz w:val="16"/>
              </w:rPr>
              <w:t>Could unfold within weeks after weak data</w:t>
            </w:r>
          </w:p>
        </w:tc>
      </w:tr>
      <w:tr>
        <w:tc>
          <w:tcPr>
            <w:tcW w:type="dxa" w:w="3300"/>
            <w:tcMar>
              <w:top w:w="90" w:type="dxa"/>
              <w:start w:w="110" w:type="dxa"/>
              <w:bottom w:w="90" w:type="dxa"/>
              <w:end w:w="110" w:type="dxa"/>
            </w:tcMar>
            <w:vAlign w:val="center"/>
          </w:tcPr>
          <w:p>
            <w:pPr>
              <w:spacing w:after="0"/>
            </w:pPr>
            <w:r>
              <w:rPr>
                <w:rFonts w:ascii="Aptos" w:hAnsi="Aptos"/>
                <w:b w:val="0"/>
                <w:i w:val="0"/>
                <w:color w:val="222222"/>
                <w:sz w:val="16"/>
              </w:rPr>
              <w:t>Consumer charge-offs accelerate</w:t>
            </w:r>
          </w:p>
        </w:tc>
        <w:tc>
          <w:tcPr>
            <w:tcW w:type="dxa" w:w="1500"/>
            <w:tcMar>
              <w:top w:w="90" w:type="dxa"/>
              <w:start w:w="110" w:type="dxa"/>
              <w:bottom w:w="90" w:type="dxa"/>
              <w:end w:w="110" w:type="dxa"/>
            </w:tcMar>
            <w:vAlign w:val="center"/>
          </w:tcPr>
          <w:p>
            <w:pPr>
              <w:spacing w:after="0"/>
            </w:pPr>
            <w:r>
              <w:rPr>
                <w:rFonts w:ascii="Aptos" w:hAnsi="Aptos"/>
                <w:b w:val="0"/>
                <w:i w:val="0"/>
                <w:color w:val="222222"/>
                <w:sz w:val="16"/>
              </w:rPr>
              <w:t>30%</w:t>
            </w:r>
          </w:p>
        </w:tc>
        <w:tc>
          <w:tcPr>
            <w:tcW w:type="dxa" w:w="1700"/>
            <w:tcMar>
              <w:top w:w="90" w:type="dxa"/>
              <w:start w:w="110" w:type="dxa"/>
              <w:bottom w:w="90" w:type="dxa"/>
              <w:end w:w="110" w:type="dxa"/>
            </w:tcMar>
            <w:vAlign w:val="center"/>
          </w:tcPr>
          <w:p>
            <w:pPr>
              <w:spacing w:after="0"/>
            </w:pPr>
            <w:r>
              <w:rPr>
                <w:rFonts w:ascii="Aptos" w:hAnsi="Aptos"/>
                <w:b w:val="0"/>
                <w:i w:val="0"/>
                <w:color w:val="222222"/>
                <w:sz w:val="16"/>
              </w:rPr>
              <w:t>Medium–High</w:t>
            </w:r>
          </w:p>
        </w:tc>
        <w:tc>
          <w:tcPr>
            <w:tcW w:type="dxa" w:w="2860"/>
            <w:tcMar>
              <w:top w:w="90" w:type="dxa"/>
              <w:start w:w="110" w:type="dxa"/>
              <w:bottom w:w="90" w:type="dxa"/>
              <w:end w:w="110" w:type="dxa"/>
            </w:tcMar>
            <w:vAlign w:val="center"/>
          </w:tcPr>
          <w:p>
            <w:pPr>
              <w:spacing w:after="0"/>
            </w:pPr>
            <w:r>
              <w:rPr>
                <w:rFonts w:ascii="Aptos" w:hAnsi="Aptos"/>
                <w:b w:val="0"/>
                <w:i w:val="0"/>
                <w:color w:val="222222"/>
                <w:sz w:val="16"/>
              </w:rPr>
              <w:t>More visible in Q3/Q4 results</w:t>
            </w:r>
          </w:p>
        </w:tc>
      </w:tr>
      <w:tr>
        <w:tc>
          <w:tcPr>
            <w:tcW w:type="dxa" w:w="3300"/>
            <w:shd w:fill="F4F6F8"/>
            <w:tcMar>
              <w:top w:w="90" w:type="dxa"/>
              <w:start w:w="110" w:type="dxa"/>
              <w:bottom w:w="90" w:type="dxa"/>
              <w:end w:w="110" w:type="dxa"/>
            </w:tcMar>
            <w:vAlign w:val="center"/>
          </w:tcPr>
          <w:p>
            <w:pPr>
              <w:spacing w:after="0"/>
            </w:pPr>
            <w:r>
              <w:rPr>
                <w:rFonts w:ascii="Aptos" w:hAnsi="Aptos"/>
                <w:b w:val="0"/>
                <w:i w:val="0"/>
                <w:color w:val="222222"/>
                <w:sz w:val="16"/>
              </w:rPr>
              <w:t>CRE/regional-bank event</w:t>
            </w:r>
          </w:p>
        </w:tc>
        <w:tc>
          <w:tcPr>
            <w:tcW w:type="dxa" w:w="1500"/>
            <w:shd w:fill="F4F6F8"/>
            <w:tcMar>
              <w:top w:w="90" w:type="dxa"/>
              <w:start w:w="110" w:type="dxa"/>
              <w:bottom w:w="90" w:type="dxa"/>
              <w:end w:w="110" w:type="dxa"/>
            </w:tcMar>
            <w:vAlign w:val="center"/>
          </w:tcPr>
          <w:p>
            <w:pPr>
              <w:spacing w:after="0"/>
            </w:pPr>
            <w:r>
              <w:rPr>
                <w:rFonts w:ascii="Aptos" w:hAnsi="Aptos"/>
                <w:b w:val="0"/>
                <w:i w:val="0"/>
                <w:color w:val="222222"/>
                <w:sz w:val="16"/>
              </w:rPr>
              <w:t>20%</w:t>
            </w:r>
          </w:p>
        </w:tc>
        <w:tc>
          <w:tcPr>
            <w:tcW w:type="dxa" w:w="1700"/>
            <w:shd w:fill="F4F6F8"/>
            <w:tcMar>
              <w:top w:w="90" w:type="dxa"/>
              <w:start w:w="110" w:type="dxa"/>
              <w:bottom w:w="90" w:type="dxa"/>
              <w:end w:w="110" w:type="dxa"/>
            </w:tcMar>
            <w:vAlign w:val="center"/>
          </w:tcPr>
          <w:p>
            <w:pPr>
              <w:spacing w:after="0"/>
            </w:pPr>
            <w:r>
              <w:rPr>
                <w:rFonts w:ascii="Aptos" w:hAnsi="Aptos"/>
                <w:b w:val="0"/>
                <w:i w:val="0"/>
                <w:color w:val="222222"/>
                <w:sz w:val="16"/>
              </w:rPr>
              <w:t>High locally</w:t>
            </w:r>
          </w:p>
        </w:tc>
        <w:tc>
          <w:tcPr>
            <w:tcW w:type="dxa" w:w="2860"/>
            <w:shd w:fill="F4F6F8"/>
            <w:tcMar>
              <w:top w:w="90" w:type="dxa"/>
              <w:start w:w="110" w:type="dxa"/>
              <w:bottom w:w="90" w:type="dxa"/>
              <w:end w:w="110" w:type="dxa"/>
            </w:tcMar>
            <w:vAlign w:val="center"/>
          </w:tcPr>
          <w:p>
            <w:pPr>
              <w:spacing w:after="0"/>
            </w:pPr>
            <w:r>
              <w:rPr>
                <w:rFonts w:ascii="Aptos" w:hAnsi="Aptos"/>
                <w:b w:val="0"/>
                <w:i w:val="0"/>
                <w:color w:val="222222"/>
                <w:sz w:val="16"/>
              </w:rPr>
              <w:t>Maturity-driven and episodic</w:t>
            </w:r>
          </w:p>
        </w:tc>
      </w:tr>
      <w:tr>
        <w:tc>
          <w:tcPr>
            <w:tcW w:type="dxa" w:w="3300"/>
            <w:tcMar>
              <w:top w:w="90" w:type="dxa"/>
              <w:start w:w="110" w:type="dxa"/>
              <w:bottom w:w="90" w:type="dxa"/>
              <w:end w:w="110" w:type="dxa"/>
            </w:tcMar>
            <w:vAlign w:val="center"/>
          </w:tcPr>
          <w:p>
            <w:pPr>
              <w:spacing w:after="0"/>
            </w:pPr>
            <w:r>
              <w:rPr>
                <w:rFonts w:ascii="Aptos" w:hAnsi="Aptos"/>
                <w:b w:val="0"/>
                <w:i w:val="0"/>
                <w:color w:val="222222"/>
                <w:sz w:val="16"/>
              </w:rPr>
              <w:t>Geopolitical/trade shock</w:t>
            </w:r>
          </w:p>
        </w:tc>
        <w:tc>
          <w:tcPr>
            <w:tcW w:type="dxa" w:w="1500"/>
            <w:tcMar>
              <w:top w:w="90" w:type="dxa"/>
              <w:start w:w="110" w:type="dxa"/>
              <w:bottom w:w="90" w:type="dxa"/>
              <w:end w:w="110" w:type="dxa"/>
            </w:tcMar>
            <w:vAlign w:val="center"/>
          </w:tcPr>
          <w:p>
            <w:pPr>
              <w:spacing w:after="0"/>
            </w:pPr>
            <w:r>
              <w:rPr>
                <w:rFonts w:ascii="Aptos" w:hAnsi="Aptos"/>
                <w:b w:val="0"/>
                <w:i w:val="0"/>
                <w:color w:val="222222"/>
                <w:sz w:val="16"/>
              </w:rPr>
              <w:t>30%</w:t>
            </w:r>
          </w:p>
        </w:tc>
        <w:tc>
          <w:tcPr>
            <w:tcW w:type="dxa" w:w="1700"/>
            <w:tcMar>
              <w:top w:w="90" w:type="dxa"/>
              <w:start w:w="110" w:type="dxa"/>
              <w:bottom w:w="90" w:type="dxa"/>
              <w:end w:w="110" w:type="dxa"/>
            </w:tcMar>
            <w:vAlign w:val="center"/>
          </w:tcPr>
          <w:p>
            <w:pPr>
              <w:spacing w:after="0"/>
            </w:pPr>
            <w:r>
              <w:rPr>
                <w:rFonts w:ascii="Aptos" w:hAnsi="Aptos"/>
                <w:b w:val="0"/>
                <w:i w:val="0"/>
                <w:color w:val="222222"/>
                <w:sz w:val="16"/>
              </w:rPr>
              <w:t>Medium–High</w:t>
            </w:r>
          </w:p>
        </w:tc>
        <w:tc>
          <w:tcPr>
            <w:tcW w:type="dxa" w:w="2860"/>
            <w:tcMar>
              <w:top w:w="90" w:type="dxa"/>
              <w:start w:w="110" w:type="dxa"/>
              <w:bottom w:w="90" w:type="dxa"/>
              <w:end w:w="110" w:type="dxa"/>
            </w:tcMar>
            <w:vAlign w:val="center"/>
          </w:tcPr>
          <w:p>
            <w:pPr>
              <w:spacing w:after="0"/>
            </w:pPr>
            <w:r>
              <w:rPr>
                <w:rFonts w:ascii="Aptos" w:hAnsi="Aptos"/>
                <w:b w:val="0"/>
                <w:i w:val="0"/>
                <w:color w:val="222222"/>
                <w:sz w:val="16"/>
              </w:rPr>
              <w:t>Inflation, confidence and deal pipeline</w:t>
            </w:r>
          </w:p>
        </w:tc>
      </w:tr>
    </w:tbl>
    <w:p>
      <w:pPr>
        <w:spacing w:after="20"/>
      </w:pPr>
    </w:p>
    <w:p>
      <w:r>
        <w:rPr>
          <w:rFonts w:ascii="Aptos" w:hAnsi="Aptos"/>
          <w:b w:val="0"/>
          <w:i w:val="0"/>
          <w:color w:val="222222"/>
          <w:sz w:val="21"/>
        </w:rPr>
        <w:t>Probabilities are subjective scenario estimates and are not additive.</w:t>
      </w:r>
    </w:p>
    <w:p>
      <w:pPr>
        <w:pStyle w:val="Heading1"/>
      </w:pPr>
      <w:r>
        <w:t>9. Investment Implications</w:t>
      </w:r>
    </w:p>
    <w:p>
      <w:r>
        <w:rPr>
          <w:rFonts w:ascii="Aptos" w:hAnsi="Aptos"/>
          <w:b/>
          <w:i w:val="0"/>
          <w:color w:val="222222"/>
          <w:sz w:val="21"/>
        </w:rPr>
        <w:t xml:space="preserve">US equities: </w:t>
      </w:r>
      <w:r>
        <w:rPr>
          <w:rFonts w:ascii="Aptos" w:hAnsi="Aptos"/>
          <w:b w:val="0"/>
          <w:i w:val="0"/>
          <w:color w:val="222222"/>
          <w:sz w:val="21"/>
        </w:rPr>
        <w:t>Modest overweight; rotate some exposure from expensive duration toward quality cyclicals and financials.</w:t>
      </w:r>
    </w:p>
    <w:p>
      <w:r>
        <w:rPr>
          <w:rFonts w:ascii="Aptos" w:hAnsi="Aptos"/>
          <w:b/>
          <w:i w:val="0"/>
          <w:color w:val="222222"/>
          <w:sz w:val="21"/>
        </w:rPr>
        <w:t xml:space="preserve">European equities: </w:t>
      </w:r>
      <w:r>
        <w:rPr>
          <w:rFonts w:ascii="Aptos" w:hAnsi="Aptos"/>
          <w:b w:val="0"/>
          <w:i w:val="0"/>
          <w:color w:val="222222"/>
          <w:sz w:val="21"/>
        </w:rPr>
        <w:t>Selective overweight. Banks benefit from positive margins and cheaper valuations, though growth is weaker.</w:t>
      </w:r>
    </w:p>
    <w:p>
      <w:r>
        <w:rPr>
          <w:rFonts w:ascii="Aptos" w:hAnsi="Aptos"/>
          <w:b/>
          <w:i w:val="0"/>
          <w:color w:val="222222"/>
          <w:sz w:val="21"/>
        </w:rPr>
        <w:t xml:space="preserve">Japanese equities: </w:t>
      </w:r>
      <w:r>
        <w:rPr>
          <w:rFonts w:ascii="Aptos" w:hAnsi="Aptos"/>
          <w:b w:val="0"/>
          <w:i w:val="0"/>
          <w:color w:val="222222"/>
          <w:sz w:val="21"/>
        </w:rPr>
        <w:t>Overweight banks and insurers; gradual normalization and higher domestic yields are favorable. Hedge part of yen exposure.</w:t>
      </w:r>
    </w:p>
    <w:p>
      <w:r>
        <w:rPr>
          <w:rFonts w:ascii="Aptos" w:hAnsi="Aptos"/>
          <w:b/>
          <w:i w:val="0"/>
          <w:color w:val="222222"/>
          <w:sz w:val="21"/>
        </w:rPr>
        <w:t xml:space="preserve">Banks: </w:t>
      </w:r>
      <w:r>
        <w:rPr>
          <w:rFonts w:ascii="Aptos" w:hAnsi="Aptos"/>
          <w:b w:val="0"/>
          <w:i w:val="0"/>
          <w:color w:val="222222"/>
          <w:sz w:val="21"/>
        </w:rPr>
        <w:t>Overweight diversified large banks; modest regional exposure emphasizing capital, deposits and low office concentration.</w:t>
      </w:r>
    </w:p>
    <w:p>
      <w:r>
        <w:rPr>
          <w:rFonts w:ascii="Aptos" w:hAnsi="Aptos"/>
          <w:b/>
          <w:i w:val="0"/>
          <w:color w:val="222222"/>
          <w:sz w:val="21"/>
        </w:rPr>
        <w:t xml:space="preserve">Technology: </w:t>
      </w:r>
      <w:r>
        <w:rPr>
          <w:rFonts w:ascii="Aptos" w:hAnsi="Aptos"/>
          <w:b w:val="0"/>
          <w:i w:val="0"/>
          <w:color w:val="222222"/>
          <w:sz w:val="21"/>
        </w:rPr>
        <w:t>Market weight. Retain profitable AI infrastructure leaders; reduce speculative duration.</w:t>
      </w:r>
    </w:p>
    <w:p>
      <w:r>
        <w:rPr>
          <w:rFonts w:ascii="Aptos" w:hAnsi="Aptos"/>
          <w:b/>
          <w:i w:val="0"/>
          <w:color w:val="222222"/>
          <w:sz w:val="21"/>
        </w:rPr>
        <w:t xml:space="preserve">Small caps: </w:t>
      </w:r>
      <w:r>
        <w:rPr>
          <w:rFonts w:ascii="Aptos" w:hAnsi="Aptos"/>
          <w:b w:val="0"/>
          <w:i w:val="0"/>
          <w:color w:val="222222"/>
          <w:sz w:val="21"/>
        </w:rPr>
        <w:t>Modest overweight in profitable, refinancing-light companies.</w:t>
      </w:r>
    </w:p>
    <w:p>
      <w:r>
        <w:rPr>
          <w:rFonts w:ascii="Aptos" w:hAnsi="Aptos"/>
          <w:b/>
          <w:i w:val="0"/>
          <w:color w:val="222222"/>
          <w:sz w:val="21"/>
        </w:rPr>
        <w:t xml:space="preserve">Bonds: </w:t>
      </w:r>
      <w:r>
        <w:rPr>
          <w:rFonts w:ascii="Aptos" w:hAnsi="Aptos"/>
          <w:b w:val="0"/>
          <w:i w:val="0"/>
          <w:color w:val="222222"/>
          <w:sz w:val="21"/>
        </w:rPr>
        <w:t>Underweight long nominal duration; favor 2–7Y government bonds and selective inflation protection.</w:t>
      </w:r>
    </w:p>
    <w:p>
      <w:r>
        <w:rPr>
          <w:rFonts w:ascii="Aptos" w:hAnsi="Aptos"/>
          <w:b/>
          <w:i w:val="0"/>
          <w:color w:val="222222"/>
          <w:sz w:val="21"/>
        </w:rPr>
        <w:t xml:space="preserve">High yield: </w:t>
      </w:r>
      <w:r>
        <w:rPr>
          <w:rFonts w:ascii="Aptos" w:hAnsi="Aptos"/>
          <w:b w:val="0"/>
          <w:i w:val="0"/>
          <w:color w:val="222222"/>
          <w:sz w:val="21"/>
        </w:rPr>
        <w:t>Underweight broad HY at tight spreads; prefer BB, short duration and active selection.</w:t>
      </w:r>
    </w:p>
    <w:p>
      <w:r>
        <w:rPr>
          <w:rFonts w:ascii="Aptos" w:hAnsi="Aptos"/>
          <w:b/>
          <w:i w:val="0"/>
          <w:color w:val="222222"/>
          <w:sz w:val="21"/>
        </w:rPr>
        <w:t xml:space="preserve">Investment grade: </w:t>
      </w:r>
      <w:r>
        <w:rPr>
          <w:rFonts w:ascii="Aptos" w:hAnsi="Aptos"/>
          <w:b w:val="0"/>
          <w:i w:val="0"/>
          <w:color w:val="222222"/>
          <w:sz w:val="21"/>
        </w:rPr>
        <w:t>Neutral/overweight short-to-intermediate IG.</w:t>
      </w:r>
    </w:p>
    <w:p>
      <w:r>
        <w:rPr>
          <w:rFonts w:ascii="Aptos" w:hAnsi="Aptos"/>
          <w:b/>
          <w:i w:val="0"/>
          <w:color w:val="222222"/>
          <w:sz w:val="21"/>
        </w:rPr>
        <w:t xml:space="preserve">Gold: </w:t>
      </w:r>
      <w:r>
        <w:rPr>
          <w:rFonts w:ascii="Aptos" w:hAnsi="Aptos"/>
          <w:b w:val="0"/>
          <w:i w:val="0"/>
          <w:color w:val="222222"/>
          <w:sz w:val="21"/>
        </w:rPr>
        <w:t>Strategic overweight as fiscal, inflation and geopolitical hedge.</w:t>
      </w:r>
    </w:p>
    <w:p>
      <w:r>
        <w:rPr>
          <w:rFonts w:ascii="Aptos" w:hAnsi="Aptos"/>
          <w:b/>
          <w:i w:val="0"/>
          <w:color w:val="222222"/>
          <w:sz w:val="21"/>
        </w:rPr>
        <w:t xml:space="preserve">US dollar: </w:t>
      </w:r>
      <w:r>
        <w:rPr>
          <w:rFonts w:ascii="Aptos" w:hAnsi="Aptos"/>
          <w:b w:val="0"/>
          <w:i w:val="0"/>
          <w:color w:val="222222"/>
          <w:sz w:val="21"/>
        </w:rPr>
        <w:t>Neutral to modest tactical overweight; high yields support it, fiscal concerns cap conviction.</w:t>
      </w:r>
    </w:p>
    <w:p>
      <w:pPr>
        <w:pStyle w:val="Heading1"/>
      </w:pPr>
      <w:r>
        <w:t>10. Scorecard</w:t>
      </w:r>
    </w:p>
    <w:tbl>
      <w:tblPr>
        <w:tblStyle w:val="TableGrid"/>
        <w:tblW w:type="dxa" w:w="9360"/>
        <w:jc w:val="left"/>
        <w:tblLayout w:type="fixed"/>
        <w:tblLook w:firstColumn="1" w:firstRow="1" w:lastColumn="0" w:lastRow="0" w:noHBand="0" w:noVBand="1" w:val="04A0"/>
        <w:tblInd w:w="120" w:type="dxa"/>
      </w:tblPr>
      <w:tblGrid>
        <w:gridCol w:w="1700"/>
        <w:gridCol w:w="1700"/>
        <w:gridCol w:w="1500"/>
        <w:gridCol w:w="900"/>
        <w:gridCol w:w="2760"/>
        <w:gridCol w:w="800"/>
      </w:tblGrid>
      <w:tr>
        <w:tc>
          <w:tcPr>
            <w:tcW w:type="dxa" w:w="1700"/>
            <w:shd w:fill="1F4E79"/>
            <w:tcMar>
              <w:top w:w="90" w:type="dxa"/>
              <w:start w:w="110" w:type="dxa"/>
              <w:bottom w:w="90" w:type="dxa"/>
              <w:end w:w="110" w:type="dxa"/>
            </w:tcMar>
            <w:vAlign w:val="center"/>
          </w:tcPr>
          <w:p>
            <w:pPr>
              <w:jc w:val="left"/>
            </w:pPr>
            <w:r>
              <w:rPr>
                <w:rFonts w:ascii="Aptos" w:hAnsi="Aptos"/>
                <w:b/>
                <w:i w:val="0"/>
                <w:color w:val="FFFFFF"/>
                <w:sz w:val="15"/>
              </w:rPr>
              <w:t>Indicator</w:t>
            </w:r>
          </w:p>
        </w:tc>
        <w:tc>
          <w:tcPr>
            <w:tcW w:type="dxa" w:w="1700"/>
            <w:shd w:fill="1F4E79"/>
            <w:tcMar>
              <w:top w:w="90" w:type="dxa"/>
              <w:start w:w="110" w:type="dxa"/>
              <w:bottom w:w="90" w:type="dxa"/>
              <w:end w:w="110" w:type="dxa"/>
            </w:tcMar>
            <w:vAlign w:val="center"/>
          </w:tcPr>
          <w:p>
            <w:pPr>
              <w:jc w:val="left"/>
            </w:pPr>
            <w:r>
              <w:rPr>
                <w:rFonts w:ascii="Aptos" w:hAnsi="Aptos"/>
                <w:b/>
                <w:i w:val="0"/>
                <w:color w:val="FFFFFF"/>
                <w:sz w:val="15"/>
              </w:rPr>
              <w:t>Current</w:t>
            </w:r>
          </w:p>
        </w:tc>
        <w:tc>
          <w:tcPr>
            <w:tcW w:type="dxa" w:w="1500"/>
            <w:shd w:fill="1F4E79"/>
            <w:tcMar>
              <w:top w:w="90" w:type="dxa"/>
              <w:start w:w="110" w:type="dxa"/>
              <w:bottom w:w="90" w:type="dxa"/>
              <w:end w:w="110" w:type="dxa"/>
            </w:tcMar>
            <w:vAlign w:val="center"/>
          </w:tcPr>
          <w:p>
            <w:pPr>
              <w:jc w:val="left"/>
            </w:pPr>
            <w:r>
              <w:rPr>
                <w:rFonts w:ascii="Aptos" w:hAnsi="Aptos"/>
                <w:b/>
                <w:i w:val="0"/>
                <w:color w:val="FFFFFF"/>
                <w:sz w:val="15"/>
              </w:rPr>
              <w:t>Previous</w:t>
            </w:r>
          </w:p>
        </w:tc>
        <w:tc>
          <w:tcPr>
            <w:tcW w:type="dxa" w:w="900"/>
            <w:shd w:fill="1F4E79"/>
            <w:tcMar>
              <w:top w:w="90" w:type="dxa"/>
              <w:start w:w="110" w:type="dxa"/>
              <w:bottom w:w="90" w:type="dxa"/>
              <w:end w:w="110" w:type="dxa"/>
            </w:tcMar>
            <w:vAlign w:val="center"/>
          </w:tcPr>
          <w:p>
            <w:pPr>
              <w:jc w:val="left"/>
            </w:pPr>
            <w:r>
              <w:rPr>
                <w:rFonts w:ascii="Aptos" w:hAnsi="Aptos"/>
                <w:b/>
                <w:i w:val="0"/>
                <w:color w:val="FFFFFF"/>
                <w:sz w:val="15"/>
              </w:rPr>
              <w:t>Trend</w:t>
            </w:r>
          </w:p>
        </w:tc>
        <w:tc>
          <w:tcPr>
            <w:tcW w:type="dxa" w:w="2760"/>
            <w:shd w:fill="1F4E79"/>
            <w:tcMar>
              <w:top w:w="90" w:type="dxa"/>
              <w:start w:w="110" w:type="dxa"/>
              <w:bottom w:w="90" w:type="dxa"/>
              <w:end w:w="110" w:type="dxa"/>
            </w:tcMar>
            <w:vAlign w:val="center"/>
          </w:tcPr>
          <w:p>
            <w:pPr>
              <w:jc w:val="left"/>
            </w:pPr>
            <w:r>
              <w:rPr>
                <w:rFonts w:ascii="Aptos" w:hAnsi="Aptos"/>
                <w:b/>
                <w:i w:val="0"/>
                <w:color w:val="FFFFFF"/>
                <w:sz w:val="15"/>
              </w:rPr>
              <w:t>Interpretation</w:t>
            </w:r>
          </w:p>
        </w:tc>
        <w:tc>
          <w:tcPr>
            <w:tcW w:type="dxa" w:w="800"/>
            <w:shd w:fill="1F4E79"/>
            <w:tcMar>
              <w:top w:w="90" w:type="dxa"/>
              <w:start w:w="110" w:type="dxa"/>
              <w:bottom w:w="90" w:type="dxa"/>
              <w:end w:w="110" w:type="dxa"/>
            </w:tcMar>
            <w:vAlign w:val="center"/>
          </w:tcPr>
          <w:p>
            <w:pPr>
              <w:jc w:val="left"/>
            </w:pPr>
            <w:r>
              <w:rPr>
                <w:rFonts w:ascii="Aptos" w:hAnsi="Aptos"/>
                <w:b/>
                <w:i w:val="0"/>
                <w:color w:val="FFFFFF"/>
                <w:sz w:val="15"/>
              </w:rPr>
              <w:t>Score /10</w:t>
            </w:r>
          </w:p>
        </w:tc>
      </w:tr>
      <w:tr>
        <w:tc>
          <w:tcPr>
            <w:tcW w:type="dxa" w:w="1700"/>
            <w:tcMar>
              <w:top w:w="90" w:type="dxa"/>
              <w:start w:w="110" w:type="dxa"/>
              <w:bottom w:w="90" w:type="dxa"/>
              <w:end w:w="110" w:type="dxa"/>
            </w:tcMar>
            <w:vAlign w:val="center"/>
          </w:tcPr>
          <w:p>
            <w:pPr>
              <w:spacing w:after="0"/>
            </w:pPr>
            <w:r>
              <w:rPr>
                <w:rFonts w:ascii="Aptos" w:hAnsi="Aptos"/>
                <w:b w:val="0"/>
                <w:i w:val="0"/>
                <w:color w:val="222222"/>
                <w:sz w:val="15"/>
              </w:rPr>
              <w:t>2Y–10Y curve</w:t>
            </w:r>
          </w:p>
        </w:tc>
        <w:tc>
          <w:tcPr>
            <w:tcW w:type="dxa" w:w="1700"/>
            <w:tcMar>
              <w:top w:w="90" w:type="dxa"/>
              <w:start w:w="110" w:type="dxa"/>
              <w:bottom w:w="90" w:type="dxa"/>
              <w:end w:w="110" w:type="dxa"/>
            </w:tcMar>
            <w:vAlign w:val="center"/>
          </w:tcPr>
          <w:p>
            <w:pPr>
              <w:spacing w:after="0"/>
            </w:pPr>
            <w:r>
              <w:rPr>
                <w:rFonts w:ascii="Aptos" w:hAnsi="Aptos"/>
                <w:b w:val="0"/>
                <w:i w:val="0"/>
                <w:color w:val="222222"/>
                <w:sz w:val="15"/>
              </w:rPr>
              <w:t>+45 bp</w:t>
            </w:r>
          </w:p>
        </w:tc>
        <w:tc>
          <w:tcPr>
            <w:tcW w:type="dxa" w:w="1500"/>
            <w:tcMar>
              <w:top w:w="90" w:type="dxa"/>
              <w:start w:w="110" w:type="dxa"/>
              <w:bottom w:w="90" w:type="dxa"/>
              <w:end w:w="110" w:type="dxa"/>
            </w:tcMar>
            <w:vAlign w:val="center"/>
          </w:tcPr>
          <w:p>
            <w:pPr>
              <w:spacing w:after="0"/>
            </w:pPr>
            <w:r>
              <w:rPr>
                <w:rFonts w:ascii="Aptos" w:hAnsi="Aptos"/>
                <w:b w:val="0"/>
                <w:i w:val="0"/>
                <w:color w:val="222222"/>
                <w:sz w:val="15"/>
              </w:rPr>
              <w:t>~+37 bp</w:t>
            </w:r>
          </w:p>
        </w:tc>
        <w:tc>
          <w:tcPr>
            <w:tcW w:type="dxa" w:w="900"/>
            <w:tcMar>
              <w:top w:w="90" w:type="dxa"/>
              <w:start w:w="110" w:type="dxa"/>
              <w:bottom w:w="90" w:type="dxa"/>
              <w:end w:w="110" w:type="dxa"/>
            </w:tcMar>
            <w:vAlign w:val="center"/>
          </w:tcPr>
          <w:p>
            <w:pPr>
              <w:spacing w:after="0"/>
            </w:pPr>
            <w:r>
              <w:rPr>
                <w:rFonts w:ascii="Aptos" w:hAnsi="Aptos"/>
                <w:b w:val="0"/>
                <w:i w:val="0"/>
                <w:color w:val="222222"/>
                <w:sz w:val="15"/>
              </w:rPr>
              <w:t>↑</w:t>
            </w:r>
          </w:p>
        </w:tc>
        <w:tc>
          <w:tcPr>
            <w:tcW w:type="dxa" w:w="2760"/>
            <w:tcMar>
              <w:top w:w="90" w:type="dxa"/>
              <w:start w:w="110" w:type="dxa"/>
              <w:bottom w:w="90" w:type="dxa"/>
              <w:end w:w="110" w:type="dxa"/>
            </w:tcMar>
            <w:vAlign w:val="center"/>
          </w:tcPr>
          <w:p>
            <w:pPr>
              <w:spacing w:after="0"/>
            </w:pPr>
            <w:r>
              <w:rPr>
                <w:rFonts w:ascii="Aptos" w:hAnsi="Aptos"/>
                <w:b w:val="0"/>
                <w:i w:val="0"/>
                <w:color w:val="222222"/>
                <w:sz w:val="15"/>
              </w:rPr>
              <w:t>Steeper, but long-end driven</w:t>
            </w:r>
          </w:p>
        </w:tc>
        <w:tc>
          <w:tcPr>
            <w:tcW w:type="dxa" w:w="800"/>
            <w:tcMar>
              <w:top w:w="90" w:type="dxa"/>
              <w:start w:w="110" w:type="dxa"/>
              <w:bottom w:w="90" w:type="dxa"/>
              <w:end w:w="110" w:type="dxa"/>
            </w:tcMar>
            <w:vAlign w:val="center"/>
          </w:tcPr>
          <w:p>
            <w:pPr>
              <w:spacing w:after="0"/>
            </w:pPr>
            <w:r>
              <w:rPr>
                <w:rFonts w:ascii="Aptos" w:hAnsi="Aptos"/>
                <w:b w:val="0"/>
                <w:i w:val="0"/>
                <w:color w:val="222222"/>
                <w:sz w:val="15"/>
              </w:rPr>
              <w:t>7</w:t>
            </w:r>
          </w:p>
        </w:tc>
      </w:tr>
      <w:tr>
        <w:tc>
          <w:tcPr>
            <w:tcW w:type="dxa" w:w="1700"/>
            <w:shd w:fill="F4F6F8"/>
            <w:tcMar>
              <w:top w:w="90" w:type="dxa"/>
              <w:start w:w="110" w:type="dxa"/>
              <w:bottom w:w="90" w:type="dxa"/>
              <w:end w:w="110" w:type="dxa"/>
            </w:tcMar>
            <w:vAlign w:val="center"/>
          </w:tcPr>
          <w:p>
            <w:pPr>
              <w:spacing w:after="0"/>
            </w:pPr>
            <w:r>
              <w:rPr>
                <w:rFonts w:ascii="Aptos" w:hAnsi="Aptos"/>
                <w:b w:val="0"/>
                <w:i w:val="0"/>
                <w:color w:val="222222"/>
                <w:sz w:val="15"/>
              </w:rPr>
              <w:t>Loan growth</w:t>
            </w:r>
          </w:p>
        </w:tc>
        <w:tc>
          <w:tcPr>
            <w:tcW w:type="dxa" w:w="1700"/>
            <w:shd w:fill="F4F6F8"/>
            <w:tcMar>
              <w:top w:w="90" w:type="dxa"/>
              <w:start w:w="110" w:type="dxa"/>
              <w:bottom w:w="90" w:type="dxa"/>
              <w:end w:w="110" w:type="dxa"/>
            </w:tcMar>
            <w:vAlign w:val="center"/>
          </w:tcPr>
          <w:p>
            <w:pPr>
              <w:spacing w:after="0"/>
            </w:pPr>
            <w:r>
              <w:rPr>
                <w:rFonts w:ascii="Aptos" w:hAnsi="Aptos"/>
                <w:b w:val="0"/>
                <w:i w:val="0"/>
                <w:color w:val="222222"/>
                <w:sz w:val="15"/>
              </w:rPr>
              <w:t>C&amp;I +8% YoY</w:t>
            </w:r>
          </w:p>
        </w:tc>
        <w:tc>
          <w:tcPr>
            <w:tcW w:type="dxa" w:w="1500"/>
            <w:shd w:fill="F4F6F8"/>
            <w:tcMar>
              <w:top w:w="90" w:type="dxa"/>
              <w:start w:w="110" w:type="dxa"/>
              <w:bottom w:w="90" w:type="dxa"/>
              <w:end w:w="110" w:type="dxa"/>
            </w:tcMar>
            <w:vAlign w:val="center"/>
          </w:tcPr>
          <w:p>
            <w:pPr>
              <w:spacing w:after="0"/>
            </w:pPr>
            <w:r>
              <w:rPr>
                <w:rFonts w:ascii="Aptos" w:hAnsi="Aptos"/>
                <w:b w:val="0"/>
                <w:i w:val="0"/>
                <w:color w:val="222222"/>
                <w:sz w:val="15"/>
              </w:rPr>
              <w:t>~5–6%</w:t>
            </w:r>
          </w:p>
        </w:tc>
        <w:tc>
          <w:tcPr>
            <w:tcW w:type="dxa" w:w="900"/>
            <w:shd w:fill="F4F6F8"/>
            <w:tcMar>
              <w:top w:w="90" w:type="dxa"/>
              <w:start w:w="110" w:type="dxa"/>
              <w:bottom w:w="90" w:type="dxa"/>
              <w:end w:w="110" w:type="dxa"/>
            </w:tcMar>
            <w:vAlign w:val="center"/>
          </w:tcPr>
          <w:p>
            <w:pPr>
              <w:spacing w:after="0"/>
            </w:pPr>
            <w:r>
              <w:rPr>
                <w:rFonts w:ascii="Aptos" w:hAnsi="Aptos"/>
                <w:b w:val="0"/>
                <w:i w:val="0"/>
                <w:color w:val="222222"/>
                <w:sz w:val="15"/>
              </w:rPr>
              <w:t>↑</w:t>
            </w:r>
          </w:p>
        </w:tc>
        <w:tc>
          <w:tcPr>
            <w:tcW w:type="dxa" w:w="2760"/>
            <w:shd w:fill="F4F6F8"/>
            <w:tcMar>
              <w:top w:w="90" w:type="dxa"/>
              <w:start w:w="110" w:type="dxa"/>
              <w:bottom w:w="90" w:type="dxa"/>
              <w:end w:w="110" w:type="dxa"/>
            </w:tcMar>
            <w:vAlign w:val="center"/>
          </w:tcPr>
          <w:p>
            <w:pPr>
              <w:spacing w:after="0"/>
            </w:pPr>
            <w:r>
              <w:rPr>
                <w:rFonts w:ascii="Aptos" w:hAnsi="Aptos"/>
                <w:b w:val="0"/>
                <w:i w:val="0"/>
                <w:color w:val="222222"/>
                <w:sz w:val="15"/>
              </w:rPr>
              <w:t>Clear acceleration</w:t>
            </w:r>
          </w:p>
        </w:tc>
        <w:tc>
          <w:tcPr>
            <w:tcW w:type="dxa" w:w="800"/>
            <w:shd w:fill="F4F6F8"/>
            <w:tcMar>
              <w:top w:w="90" w:type="dxa"/>
              <w:start w:w="110" w:type="dxa"/>
              <w:bottom w:w="90" w:type="dxa"/>
              <w:end w:w="110" w:type="dxa"/>
            </w:tcMar>
            <w:vAlign w:val="center"/>
          </w:tcPr>
          <w:p>
            <w:pPr>
              <w:spacing w:after="0"/>
            </w:pPr>
            <w:r>
              <w:rPr>
                <w:rFonts w:ascii="Aptos" w:hAnsi="Aptos"/>
                <w:b w:val="0"/>
                <w:i w:val="0"/>
                <w:color w:val="222222"/>
                <w:sz w:val="15"/>
              </w:rPr>
              <w:t>9</w:t>
            </w:r>
          </w:p>
        </w:tc>
      </w:tr>
      <w:tr>
        <w:tc>
          <w:tcPr>
            <w:tcW w:type="dxa" w:w="1700"/>
            <w:tcMar>
              <w:top w:w="90" w:type="dxa"/>
              <w:start w:w="110" w:type="dxa"/>
              <w:bottom w:w="90" w:type="dxa"/>
              <w:end w:w="110" w:type="dxa"/>
            </w:tcMar>
            <w:vAlign w:val="center"/>
          </w:tcPr>
          <w:p>
            <w:pPr>
              <w:spacing w:after="0"/>
            </w:pPr>
            <w:r>
              <w:rPr>
                <w:rFonts w:ascii="Aptos" w:hAnsi="Aptos"/>
                <w:b w:val="0"/>
                <w:i w:val="0"/>
                <w:color w:val="222222"/>
                <w:sz w:val="15"/>
              </w:rPr>
              <w:t>Lending standards</w:t>
            </w:r>
          </w:p>
        </w:tc>
        <w:tc>
          <w:tcPr>
            <w:tcW w:type="dxa" w:w="1700"/>
            <w:tcMar>
              <w:top w:w="90" w:type="dxa"/>
              <w:start w:w="110" w:type="dxa"/>
              <w:bottom w:w="90" w:type="dxa"/>
              <w:end w:w="110" w:type="dxa"/>
            </w:tcMar>
            <w:vAlign w:val="center"/>
          </w:tcPr>
          <w:p>
            <w:pPr>
              <w:spacing w:after="0"/>
            </w:pPr>
            <w:r>
              <w:rPr>
                <w:rFonts w:ascii="Aptos" w:hAnsi="Aptos"/>
                <w:b w:val="0"/>
                <w:i w:val="0"/>
                <w:color w:val="222222"/>
                <w:sz w:val="15"/>
              </w:rPr>
              <w:t>Modest tightening</w:t>
            </w:r>
          </w:p>
        </w:tc>
        <w:tc>
          <w:tcPr>
            <w:tcW w:type="dxa" w:w="1500"/>
            <w:tcMar>
              <w:top w:w="90" w:type="dxa"/>
              <w:start w:w="110" w:type="dxa"/>
              <w:bottom w:w="90" w:type="dxa"/>
              <w:end w:w="110" w:type="dxa"/>
            </w:tcMar>
            <w:vAlign w:val="center"/>
          </w:tcPr>
          <w:p>
            <w:pPr>
              <w:spacing w:after="0"/>
            </w:pPr>
            <w:r>
              <w:rPr>
                <w:rFonts w:ascii="Aptos" w:hAnsi="Aptos"/>
                <w:b w:val="0"/>
                <w:i w:val="0"/>
                <w:color w:val="222222"/>
                <w:sz w:val="15"/>
              </w:rPr>
              <w:t>Near unchanged</w:t>
            </w:r>
          </w:p>
        </w:tc>
        <w:tc>
          <w:tcPr>
            <w:tcW w:type="dxa" w:w="900"/>
            <w:tcMar>
              <w:top w:w="90" w:type="dxa"/>
              <w:start w:w="110" w:type="dxa"/>
              <w:bottom w:w="90" w:type="dxa"/>
              <w:end w:w="110" w:type="dxa"/>
            </w:tcMar>
            <w:vAlign w:val="center"/>
          </w:tcPr>
          <w:p>
            <w:pPr>
              <w:spacing w:after="0"/>
            </w:pPr>
            <w:r>
              <w:rPr>
                <w:rFonts w:ascii="Aptos" w:hAnsi="Aptos"/>
                <w:b w:val="0"/>
                <w:i w:val="0"/>
                <w:color w:val="222222"/>
                <w:sz w:val="15"/>
              </w:rPr>
              <w:t>↓</w:t>
            </w:r>
          </w:p>
        </w:tc>
        <w:tc>
          <w:tcPr>
            <w:tcW w:type="dxa" w:w="2760"/>
            <w:tcMar>
              <w:top w:w="90" w:type="dxa"/>
              <w:start w:w="110" w:type="dxa"/>
              <w:bottom w:w="90" w:type="dxa"/>
              <w:end w:w="110" w:type="dxa"/>
            </w:tcMar>
            <w:vAlign w:val="center"/>
          </w:tcPr>
          <w:p>
            <w:pPr>
              <w:spacing w:after="0"/>
            </w:pPr>
            <w:r>
              <w:rPr>
                <w:rFonts w:ascii="Aptos" w:hAnsi="Aptos"/>
                <w:b w:val="0"/>
                <w:i w:val="0"/>
                <w:color w:val="222222"/>
                <w:sz w:val="15"/>
              </w:rPr>
              <w:t>Supply still cautious</w:t>
            </w:r>
          </w:p>
        </w:tc>
        <w:tc>
          <w:tcPr>
            <w:tcW w:type="dxa" w:w="800"/>
            <w:tcMar>
              <w:top w:w="90" w:type="dxa"/>
              <w:start w:w="110" w:type="dxa"/>
              <w:bottom w:w="90" w:type="dxa"/>
              <w:end w:w="110" w:type="dxa"/>
            </w:tcMar>
            <w:vAlign w:val="center"/>
          </w:tcPr>
          <w:p>
            <w:pPr>
              <w:spacing w:after="0"/>
            </w:pPr>
            <w:r>
              <w:rPr>
                <w:rFonts w:ascii="Aptos" w:hAnsi="Aptos"/>
                <w:b w:val="0"/>
                <w:i w:val="0"/>
                <w:color w:val="222222"/>
                <w:sz w:val="15"/>
              </w:rPr>
              <w:t>5</w:t>
            </w:r>
          </w:p>
        </w:tc>
      </w:tr>
      <w:tr>
        <w:tc>
          <w:tcPr>
            <w:tcW w:type="dxa" w:w="1700"/>
            <w:shd w:fill="F4F6F8"/>
            <w:tcMar>
              <w:top w:w="90" w:type="dxa"/>
              <w:start w:w="110" w:type="dxa"/>
              <w:bottom w:w="90" w:type="dxa"/>
              <w:end w:w="110" w:type="dxa"/>
            </w:tcMar>
            <w:vAlign w:val="center"/>
          </w:tcPr>
          <w:p>
            <w:pPr>
              <w:spacing w:after="0"/>
            </w:pPr>
            <w:r>
              <w:rPr>
                <w:rFonts w:ascii="Aptos" w:hAnsi="Aptos"/>
                <w:b w:val="0"/>
                <w:i w:val="0"/>
                <w:color w:val="222222"/>
                <w:sz w:val="15"/>
              </w:rPr>
              <w:t>HY credit spread</w:t>
            </w:r>
          </w:p>
        </w:tc>
        <w:tc>
          <w:tcPr>
            <w:tcW w:type="dxa" w:w="1700"/>
            <w:shd w:fill="F4F6F8"/>
            <w:tcMar>
              <w:top w:w="90" w:type="dxa"/>
              <w:start w:w="110" w:type="dxa"/>
              <w:bottom w:w="90" w:type="dxa"/>
              <w:end w:w="110" w:type="dxa"/>
            </w:tcMar>
            <w:vAlign w:val="center"/>
          </w:tcPr>
          <w:p>
            <w:pPr>
              <w:spacing w:after="0"/>
            </w:pPr>
            <w:r>
              <w:rPr>
                <w:rFonts w:ascii="Aptos" w:hAnsi="Aptos"/>
                <w:b w:val="0"/>
                <w:i w:val="0"/>
                <w:color w:val="222222"/>
                <w:sz w:val="15"/>
              </w:rPr>
              <w:t>~270–275 bp</w:t>
            </w:r>
          </w:p>
        </w:tc>
        <w:tc>
          <w:tcPr>
            <w:tcW w:type="dxa" w:w="1500"/>
            <w:shd w:fill="F4F6F8"/>
            <w:tcMar>
              <w:top w:w="90" w:type="dxa"/>
              <w:start w:w="110" w:type="dxa"/>
              <w:bottom w:w="90" w:type="dxa"/>
              <w:end w:w="110" w:type="dxa"/>
            </w:tcMar>
            <w:vAlign w:val="center"/>
          </w:tcPr>
          <w:p>
            <w:pPr>
              <w:spacing w:after="0"/>
            </w:pPr>
            <w:r>
              <w:rPr>
                <w:rFonts w:ascii="Aptos" w:hAnsi="Aptos"/>
                <w:b w:val="0"/>
                <w:i w:val="0"/>
                <w:color w:val="222222"/>
                <w:sz w:val="15"/>
              </w:rPr>
              <w:t>~290–310 bp</w:t>
            </w:r>
          </w:p>
        </w:tc>
        <w:tc>
          <w:tcPr>
            <w:tcW w:type="dxa" w:w="900"/>
            <w:shd w:fill="F4F6F8"/>
            <w:tcMar>
              <w:top w:w="90" w:type="dxa"/>
              <w:start w:w="110" w:type="dxa"/>
              <w:bottom w:w="90" w:type="dxa"/>
              <w:end w:w="110" w:type="dxa"/>
            </w:tcMar>
            <w:vAlign w:val="center"/>
          </w:tcPr>
          <w:p>
            <w:pPr>
              <w:spacing w:after="0"/>
            </w:pPr>
            <w:r>
              <w:rPr>
                <w:rFonts w:ascii="Aptos" w:hAnsi="Aptos"/>
                <w:b w:val="0"/>
                <w:i w:val="0"/>
                <w:color w:val="222222"/>
                <w:sz w:val="15"/>
              </w:rPr>
              <w:t>↓</w:t>
            </w:r>
          </w:p>
        </w:tc>
        <w:tc>
          <w:tcPr>
            <w:tcW w:type="dxa" w:w="2760"/>
            <w:shd w:fill="F4F6F8"/>
            <w:tcMar>
              <w:top w:w="90" w:type="dxa"/>
              <w:start w:w="110" w:type="dxa"/>
              <w:bottom w:w="90" w:type="dxa"/>
              <w:end w:w="110" w:type="dxa"/>
            </w:tcMar>
            <w:vAlign w:val="center"/>
          </w:tcPr>
          <w:p>
            <w:pPr>
              <w:spacing w:after="0"/>
            </w:pPr>
            <w:r>
              <w:rPr>
                <w:rFonts w:ascii="Aptos" w:hAnsi="Aptos"/>
                <w:b w:val="0"/>
                <w:i w:val="0"/>
                <w:color w:val="222222"/>
                <w:sz w:val="15"/>
              </w:rPr>
              <w:t>Confirms risk appetite; expensive</w:t>
            </w:r>
          </w:p>
        </w:tc>
        <w:tc>
          <w:tcPr>
            <w:tcW w:type="dxa" w:w="800"/>
            <w:shd w:fill="F4F6F8"/>
            <w:tcMar>
              <w:top w:w="90" w:type="dxa"/>
              <w:start w:w="110" w:type="dxa"/>
              <w:bottom w:w="90" w:type="dxa"/>
              <w:end w:w="110" w:type="dxa"/>
            </w:tcMar>
            <w:vAlign w:val="center"/>
          </w:tcPr>
          <w:p>
            <w:pPr>
              <w:spacing w:after="0"/>
            </w:pPr>
            <w:r>
              <w:rPr>
                <w:rFonts w:ascii="Aptos" w:hAnsi="Aptos"/>
                <w:b w:val="0"/>
                <w:i w:val="0"/>
                <w:color w:val="222222"/>
                <w:sz w:val="15"/>
              </w:rPr>
              <w:t>7</w:t>
            </w:r>
          </w:p>
        </w:tc>
      </w:tr>
      <w:tr>
        <w:tc>
          <w:tcPr>
            <w:tcW w:type="dxa" w:w="1700"/>
            <w:tcMar>
              <w:top w:w="90" w:type="dxa"/>
              <w:start w:w="110" w:type="dxa"/>
              <w:bottom w:w="90" w:type="dxa"/>
              <w:end w:w="110" w:type="dxa"/>
            </w:tcMar>
            <w:vAlign w:val="center"/>
          </w:tcPr>
          <w:p>
            <w:pPr>
              <w:spacing w:after="0"/>
            </w:pPr>
            <w:r>
              <w:rPr>
                <w:rFonts w:ascii="Aptos" w:hAnsi="Aptos"/>
                <w:b w:val="0"/>
                <w:i w:val="0"/>
                <w:color w:val="222222"/>
                <w:sz w:val="15"/>
              </w:rPr>
              <w:t>Default rate</w:t>
            </w:r>
          </w:p>
        </w:tc>
        <w:tc>
          <w:tcPr>
            <w:tcW w:type="dxa" w:w="1700"/>
            <w:tcMar>
              <w:top w:w="90" w:type="dxa"/>
              <w:start w:w="110" w:type="dxa"/>
              <w:bottom w:w="90" w:type="dxa"/>
              <w:end w:w="110" w:type="dxa"/>
            </w:tcMar>
            <w:vAlign w:val="center"/>
          </w:tcPr>
          <w:p>
            <w:pPr>
              <w:spacing w:after="0"/>
            </w:pPr>
            <w:r>
              <w:rPr>
                <w:rFonts w:ascii="Aptos" w:hAnsi="Aptos"/>
                <w:b w:val="0"/>
                <w:i w:val="0"/>
                <w:color w:val="222222"/>
                <w:sz w:val="15"/>
              </w:rPr>
              <w:t>~3–4%</w:t>
            </w:r>
          </w:p>
        </w:tc>
        <w:tc>
          <w:tcPr>
            <w:tcW w:type="dxa" w:w="1500"/>
            <w:tcMar>
              <w:top w:w="90" w:type="dxa"/>
              <w:start w:w="110" w:type="dxa"/>
              <w:bottom w:w="90" w:type="dxa"/>
              <w:end w:w="110" w:type="dxa"/>
            </w:tcMar>
            <w:vAlign w:val="center"/>
          </w:tcPr>
          <w:p>
            <w:pPr>
              <w:spacing w:after="0"/>
            </w:pPr>
            <w:r>
              <w:rPr>
                <w:rFonts w:ascii="Aptos" w:hAnsi="Aptos"/>
                <w:b w:val="0"/>
                <w:i w:val="0"/>
                <w:color w:val="222222"/>
                <w:sz w:val="15"/>
              </w:rPr>
              <w:t>Higher/stable</w:t>
            </w:r>
          </w:p>
        </w:tc>
        <w:tc>
          <w:tcPr>
            <w:tcW w:type="dxa" w:w="900"/>
            <w:tcMar>
              <w:top w:w="90" w:type="dxa"/>
              <w:start w:w="110" w:type="dxa"/>
              <w:bottom w:w="90" w:type="dxa"/>
              <w:end w:w="110" w:type="dxa"/>
            </w:tcMar>
            <w:vAlign w:val="center"/>
          </w:tcPr>
          <w:p>
            <w:pPr>
              <w:spacing w:after="0"/>
            </w:pPr>
            <w:r>
              <w:rPr>
                <w:rFonts w:ascii="Aptos" w:hAnsi="Aptos"/>
                <w:b w:val="0"/>
                <w:i w:val="0"/>
                <w:color w:val="222222"/>
                <w:sz w:val="15"/>
              </w:rPr>
              <w:t>Improving</w:t>
            </w:r>
          </w:p>
        </w:tc>
        <w:tc>
          <w:tcPr>
            <w:tcW w:type="dxa" w:w="2760"/>
            <w:tcMar>
              <w:top w:w="90" w:type="dxa"/>
              <w:start w:w="110" w:type="dxa"/>
              <w:bottom w:w="90" w:type="dxa"/>
              <w:end w:w="110" w:type="dxa"/>
            </w:tcMar>
            <w:vAlign w:val="center"/>
          </w:tcPr>
          <w:p>
            <w:pPr>
              <w:spacing w:after="0"/>
            </w:pPr>
            <w:r>
              <w:rPr>
                <w:rFonts w:ascii="Aptos" w:hAnsi="Aptos"/>
                <w:b w:val="0"/>
                <w:i w:val="0"/>
                <w:color w:val="222222"/>
                <w:sz w:val="15"/>
              </w:rPr>
              <w:t>Manageable; LMEs obscure stress</w:t>
            </w:r>
          </w:p>
        </w:tc>
        <w:tc>
          <w:tcPr>
            <w:tcW w:type="dxa" w:w="800"/>
            <w:tcMar>
              <w:top w:w="90" w:type="dxa"/>
              <w:start w:w="110" w:type="dxa"/>
              <w:bottom w:w="90" w:type="dxa"/>
              <w:end w:w="110" w:type="dxa"/>
            </w:tcMar>
            <w:vAlign w:val="center"/>
          </w:tcPr>
          <w:p>
            <w:pPr>
              <w:spacing w:after="0"/>
            </w:pPr>
            <w:r>
              <w:rPr>
                <w:rFonts w:ascii="Aptos" w:hAnsi="Aptos"/>
                <w:b w:val="0"/>
                <w:i w:val="0"/>
                <w:color w:val="222222"/>
                <w:sz w:val="15"/>
              </w:rPr>
              <w:t>6</w:t>
            </w:r>
          </w:p>
        </w:tc>
      </w:tr>
      <w:tr>
        <w:tc>
          <w:tcPr>
            <w:tcW w:type="dxa" w:w="1700"/>
            <w:shd w:fill="F4F6F8"/>
            <w:tcMar>
              <w:top w:w="90" w:type="dxa"/>
              <w:start w:w="110" w:type="dxa"/>
              <w:bottom w:w="90" w:type="dxa"/>
              <w:end w:w="110" w:type="dxa"/>
            </w:tcMar>
            <w:vAlign w:val="center"/>
          </w:tcPr>
          <w:p>
            <w:pPr>
              <w:spacing w:after="0"/>
            </w:pPr>
            <w:r>
              <w:rPr>
                <w:rFonts w:ascii="Aptos" w:hAnsi="Aptos"/>
                <w:b w:val="0"/>
                <w:i w:val="0"/>
                <w:color w:val="222222"/>
                <w:sz w:val="15"/>
              </w:rPr>
              <w:t>Financials vs S&amp;P</w:t>
            </w:r>
          </w:p>
        </w:tc>
        <w:tc>
          <w:tcPr>
            <w:tcW w:type="dxa" w:w="1700"/>
            <w:shd w:fill="F4F6F8"/>
            <w:tcMar>
              <w:top w:w="90" w:type="dxa"/>
              <w:start w:w="110" w:type="dxa"/>
              <w:bottom w:w="90" w:type="dxa"/>
              <w:end w:w="110" w:type="dxa"/>
            </w:tcMar>
            <w:vAlign w:val="center"/>
          </w:tcPr>
          <w:p>
            <w:pPr>
              <w:spacing w:after="0"/>
            </w:pPr>
            <w:r>
              <w:rPr>
                <w:rFonts w:ascii="Aptos" w:hAnsi="Aptos"/>
                <w:b w:val="0"/>
                <w:i w:val="0"/>
                <w:color w:val="222222"/>
                <w:sz w:val="15"/>
              </w:rPr>
              <w:t>Participating</w:t>
            </w:r>
          </w:p>
        </w:tc>
        <w:tc>
          <w:tcPr>
            <w:tcW w:type="dxa" w:w="1500"/>
            <w:shd w:fill="F4F6F8"/>
            <w:tcMar>
              <w:top w:w="90" w:type="dxa"/>
              <w:start w:w="110" w:type="dxa"/>
              <w:bottom w:w="90" w:type="dxa"/>
              <w:end w:w="110" w:type="dxa"/>
            </w:tcMar>
            <w:vAlign w:val="center"/>
          </w:tcPr>
          <w:p>
            <w:pPr>
              <w:spacing w:after="0"/>
            </w:pPr>
            <w:r>
              <w:rPr>
                <w:rFonts w:ascii="Aptos" w:hAnsi="Aptos"/>
                <w:b w:val="0"/>
                <w:i w:val="0"/>
                <w:color w:val="222222"/>
                <w:sz w:val="15"/>
              </w:rPr>
              <w:t>Lagging in Q1</w:t>
            </w:r>
          </w:p>
        </w:tc>
        <w:tc>
          <w:tcPr>
            <w:tcW w:type="dxa" w:w="900"/>
            <w:shd w:fill="F4F6F8"/>
            <w:tcMar>
              <w:top w:w="90" w:type="dxa"/>
              <w:start w:w="110" w:type="dxa"/>
              <w:bottom w:w="90" w:type="dxa"/>
              <w:end w:w="110" w:type="dxa"/>
            </w:tcMar>
            <w:vAlign w:val="center"/>
          </w:tcPr>
          <w:p>
            <w:pPr>
              <w:spacing w:after="0"/>
            </w:pPr>
            <w:r>
              <w:rPr>
                <w:rFonts w:ascii="Aptos" w:hAnsi="Aptos"/>
                <w:b w:val="0"/>
                <w:i w:val="0"/>
                <w:color w:val="222222"/>
                <w:sz w:val="15"/>
              </w:rPr>
              <w:t>↑</w:t>
            </w:r>
          </w:p>
        </w:tc>
        <w:tc>
          <w:tcPr>
            <w:tcW w:type="dxa" w:w="2760"/>
            <w:shd w:fill="F4F6F8"/>
            <w:tcMar>
              <w:top w:w="90" w:type="dxa"/>
              <w:start w:w="110" w:type="dxa"/>
              <w:bottom w:w="90" w:type="dxa"/>
              <w:end w:w="110" w:type="dxa"/>
            </w:tcMar>
            <w:vAlign w:val="center"/>
          </w:tcPr>
          <w:p>
            <w:pPr>
              <w:spacing w:after="0"/>
            </w:pPr>
            <w:r>
              <w:rPr>
                <w:rFonts w:ascii="Aptos" w:hAnsi="Aptos"/>
                <w:b w:val="0"/>
                <w:i w:val="0"/>
                <w:color w:val="222222"/>
                <w:sz w:val="15"/>
              </w:rPr>
              <w:t>Better, not dominant</w:t>
            </w:r>
          </w:p>
        </w:tc>
        <w:tc>
          <w:tcPr>
            <w:tcW w:type="dxa" w:w="800"/>
            <w:shd w:fill="F4F6F8"/>
            <w:tcMar>
              <w:top w:w="90" w:type="dxa"/>
              <w:start w:w="110" w:type="dxa"/>
              <w:bottom w:w="90" w:type="dxa"/>
              <w:end w:w="110" w:type="dxa"/>
            </w:tcMar>
            <w:vAlign w:val="center"/>
          </w:tcPr>
          <w:p>
            <w:pPr>
              <w:spacing w:after="0"/>
            </w:pPr>
            <w:r>
              <w:rPr>
                <w:rFonts w:ascii="Aptos" w:hAnsi="Aptos"/>
                <w:b w:val="0"/>
                <w:i w:val="0"/>
                <w:color w:val="222222"/>
                <w:sz w:val="15"/>
              </w:rPr>
              <w:t>7</w:t>
            </w:r>
          </w:p>
        </w:tc>
      </w:tr>
      <w:tr>
        <w:tc>
          <w:tcPr>
            <w:tcW w:type="dxa" w:w="1700"/>
            <w:tcMar>
              <w:top w:w="90" w:type="dxa"/>
              <w:start w:w="110" w:type="dxa"/>
              <w:bottom w:w="90" w:type="dxa"/>
              <w:end w:w="110" w:type="dxa"/>
            </w:tcMar>
            <w:vAlign w:val="center"/>
          </w:tcPr>
          <w:p>
            <w:pPr>
              <w:spacing w:after="0"/>
            </w:pPr>
            <w:r>
              <w:rPr>
                <w:rFonts w:ascii="Aptos" w:hAnsi="Aptos"/>
                <w:b w:val="0"/>
                <w:i w:val="0"/>
                <w:color w:val="222222"/>
                <w:sz w:val="15"/>
              </w:rPr>
              <w:t>Regional banks</w:t>
            </w:r>
          </w:p>
        </w:tc>
        <w:tc>
          <w:tcPr>
            <w:tcW w:type="dxa" w:w="1700"/>
            <w:tcMar>
              <w:top w:w="90" w:type="dxa"/>
              <w:start w:w="110" w:type="dxa"/>
              <w:bottom w:w="90" w:type="dxa"/>
              <w:end w:w="110" w:type="dxa"/>
            </w:tcMar>
            <w:vAlign w:val="center"/>
          </w:tcPr>
          <w:p>
            <w:pPr>
              <w:spacing w:after="0"/>
            </w:pPr>
            <w:r>
              <w:rPr>
                <w:rFonts w:ascii="Aptos" w:hAnsi="Aptos"/>
                <w:b w:val="0"/>
                <w:i w:val="0"/>
                <w:color w:val="222222"/>
                <w:sz w:val="15"/>
              </w:rPr>
              <w:t>Outperforming</w:t>
            </w:r>
          </w:p>
        </w:tc>
        <w:tc>
          <w:tcPr>
            <w:tcW w:type="dxa" w:w="1500"/>
            <w:tcMar>
              <w:top w:w="90" w:type="dxa"/>
              <w:start w:w="110" w:type="dxa"/>
              <w:bottom w:w="90" w:type="dxa"/>
              <w:end w:w="110" w:type="dxa"/>
            </w:tcMar>
            <w:vAlign w:val="center"/>
          </w:tcPr>
          <w:p>
            <w:pPr>
              <w:spacing w:after="0"/>
            </w:pPr>
            <w:r>
              <w:rPr>
                <w:rFonts w:ascii="Aptos" w:hAnsi="Aptos"/>
                <w:b w:val="0"/>
                <w:i w:val="0"/>
                <w:color w:val="222222"/>
                <w:sz w:val="15"/>
              </w:rPr>
              <w:t>Material lag</w:t>
            </w:r>
          </w:p>
        </w:tc>
        <w:tc>
          <w:tcPr>
            <w:tcW w:type="dxa" w:w="900"/>
            <w:tcMar>
              <w:top w:w="90" w:type="dxa"/>
              <w:start w:w="110" w:type="dxa"/>
              <w:bottom w:w="90" w:type="dxa"/>
              <w:end w:w="110" w:type="dxa"/>
            </w:tcMar>
            <w:vAlign w:val="center"/>
          </w:tcPr>
          <w:p>
            <w:pPr>
              <w:spacing w:after="0"/>
            </w:pPr>
            <w:r>
              <w:rPr>
                <w:rFonts w:ascii="Aptos" w:hAnsi="Aptos"/>
                <w:b w:val="0"/>
                <w:i w:val="0"/>
                <w:color w:val="222222"/>
                <w:sz w:val="15"/>
              </w:rPr>
              <w:t>↑↑</w:t>
            </w:r>
          </w:p>
        </w:tc>
        <w:tc>
          <w:tcPr>
            <w:tcW w:type="dxa" w:w="2760"/>
            <w:tcMar>
              <w:top w:w="90" w:type="dxa"/>
              <w:start w:w="110" w:type="dxa"/>
              <w:bottom w:w="90" w:type="dxa"/>
              <w:end w:w="110" w:type="dxa"/>
            </w:tcMar>
            <w:vAlign w:val="center"/>
          </w:tcPr>
          <w:p>
            <w:pPr>
              <w:spacing w:after="0"/>
            </w:pPr>
            <w:r>
              <w:rPr>
                <w:rFonts w:ascii="Aptos" w:hAnsi="Aptos"/>
                <w:b w:val="0"/>
                <w:i w:val="0"/>
                <w:color w:val="222222"/>
                <w:sz w:val="15"/>
              </w:rPr>
              <w:t>Valuable breadth confirmation</w:t>
            </w:r>
          </w:p>
        </w:tc>
        <w:tc>
          <w:tcPr>
            <w:tcW w:type="dxa" w:w="800"/>
            <w:tcMar>
              <w:top w:w="90" w:type="dxa"/>
              <w:start w:w="110" w:type="dxa"/>
              <w:bottom w:w="90" w:type="dxa"/>
              <w:end w:w="110" w:type="dxa"/>
            </w:tcMar>
            <w:vAlign w:val="center"/>
          </w:tcPr>
          <w:p>
            <w:pPr>
              <w:spacing w:after="0"/>
            </w:pPr>
            <w:r>
              <w:rPr>
                <w:rFonts w:ascii="Aptos" w:hAnsi="Aptos"/>
                <w:b w:val="0"/>
                <w:i w:val="0"/>
                <w:color w:val="222222"/>
                <w:sz w:val="15"/>
              </w:rPr>
              <w:t>8</w:t>
            </w:r>
          </w:p>
        </w:tc>
      </w:tr>
      <w:tr>
        <w:tc>
          <w:tcPr>
            <w:tcW w:type="dxa" w:w="1700"/>
            <w:shd w:fill="F4F6F8"/>
            <w:tcMar>
              <w:top w:w="90" w:type="dxa"/>
              <w:start w:w="110" w:type="dxa"/>
              <w:bottom w:w="90" w:type="dxa"/>
              <w:end w:w="110" w:type="dxa"/>
            </w:tcMar>
            <w:vAlign w:val="center"/>
          </w:tcPr>
          <w:p>
            <w:pPr>
              <w:spacing w:after="0"/>
            </w:pPr>
            <w:r>
              <w:rPr>
                <w:rFonts w:ascii="Aptos" w:hAnsi="Aptos"/>
                <w:b w:val="0"/>
                <w:i w:val="0"/>
                <w:color w:val="222222"/>
                <w:sz w:val="15"/>
              </w:rPr>
              <w:t>CRE risk</w:t>
            </w:r>
          </w:p>
        </w:tc>
        <w:tc>
          <w:tcPr>
            <w:tcW w:type="dxa" w:w="1700"/>
            <w:shd w:fill="F4F6F8"/>
            <w:tcMar>
              <w:top w:w="90" w:type="dxa"/>
              <w:start w:w="110" w:type="dxa"/>
              <w:bottom w:w="90" w:type="dxa"/>
              <w:end w:w="110" w:type="dxa"/>
            </w:tcMar>
            <w:vAlign w:val="center"/>
          </w:tcPr>
          <w:p>
            <w:pPr>
              <w:spacing w:after="0"/>
            </w:pPr>
            <w:r>
              <w:rPr>
                <w:rFonts w:ascii="Aptos" w:hAnsi="Aptos"/>
                <w:b w:val="0"/>
                <w:i w:val="0"/>
                <w:color w:val="222222"/>
                <w:sz w:val="15"/>
              </w:rPr>
              <w:t>CMBS 7.35%</w:t>
            </w:r>
          </w:p>
        </w:tc>
        <w:tc>
          <w:tcPr>
            <w:tcW w:type="dxa" w:w="1500"/>
            <w:shd w:fill="F4F6F8"/>
            <w:tcMar>
              <w:top w:w="90" w:type="dxa"/>
              <w:start w:w="110" w:type="dxa"/>
              <w:bottom w:w="90" w:type="dxa"/>
              <w:end w:w="110" w:type="dxa"/>
            </w:tcMar>
            <w:vAlign w:val="center"/>
          </w:tcPr>
          <w:p>
            <w:pPr>
              <w:spacing w:after="0"/>
            </w:pPr>
            <w:r>
              <w:rPr>
                <w:rFonts w:ascii="Aptos" w:hAnsi="Aptos"/>
                <w:b w:val="0"/>
                <w:i w:val="0"/>
                <w:color w:val="222222"/>
                <w:sz w:val="15"/>
              </w:rPr>
              <w:t>Similar/worse</w:t>
            </w:r>
          </w:p>
        </w:tc>
        <w:tc>
          <w:tcPr>
            <w:tcW w:type="dxa" w:w="900"/>
            <w:shd w:fill="F4F6F8"/>
            <w:tcMar>
              <w:top w:w="90" w:type="dxa"/>
              <w:start w:w="110" w:type="dxa"/>
              <w:bottom w:w="90" w:type="dxa"/>
              <w:end w:w="110" w:type="dxa"/>
            </w:tcMar>
            <w:vAlign w:val="center"/>
          </w:tcPr>
          <w:p>
            <w:pPr>
              <w:spacing w:after="0"/>
            </w:pPr>
            <w:r>
              <w:rPr>
                <w:rFonts w:ascii="Aptos" w:hAnsi="Aptos"/>
                <w:b w:val="0"/>
                <w:i w:val="0"/>
                <w:color w:val="222222"/>
                <w:sz w:val="15"/>
              </w:rPr>
              <w:t>→</w:t>
            </w:r>
          </w:p>
        </w:tc>
        <w:tc>
          <w:tcPr>
            <w:tcW w:type="dxa" w:w="2760"/>
            <w:shd w:fill="F4F6F8"/>
            <w:tcMar>
              <w:top w:w="90" w:type="dxa"/>
              <w:start w:w="110" w:type="dxa"/>
              <w:bottom w:w="90" w:type="dxa"/>
              <w:end w:w="110" w:type="dxa"/>
            </w:tcMar>
            <w:vAlign w:val="center"/>
          </w:tcPr>
          <w:p>
            <w:pPr>
              <w:spacing w:after="0"/>
            </w:pPr>
            <w:r>
              <w:rPr>
                <w:rFonts w:ascii="Aptos" w:hAnsi="Aptos"/>
                <w:b w:val="0"/>
                <w:i w:val="0"/>
                <w:color w:val="222222"/>
                <w:sz w:val="15"/>
              </w:rPr>
              <w:t>Contained, unresolved</w:t>
            </w:r>
          </w:p>
        </w:tc>
        <w:tc>
          <w:tcPr>
            <w:tcW w:type="dxa" w:w="800"/>
            <w:shd w:fill="F4F6F8"/>
            <w:tcMar>
              <w:top w:w="90" w:type="dxa"/>
              <w:start w:w="110" w:type="dxa"/>
              <w:bottom w:w="90" w:type="dxa"/>
              <w:end w:w="110" w:type="dxa"/>
            </w:tcMar>
            <w:vAlign w:val="center"/>
          </w:tcPr>
          <w:p>
            <w:pPr>
              <w:spacing w:after="0"/>
            </w:pPr>
            <w:r>
              <w:rPr>
                <w:rFonts w:ascii="Aptos" w:hAnsi="Aptos"/>
                <w:b w:val="0"/>
                <w:i w:val="0"/>
                <w:color w:val="222222"/>
                <w:sz w:val="15"/>
              </w:rPr>
              <w:t>4</w:t>
            </w:r>
          </w:p>
        </w:tc>
      </w:tr>
    </w:tbl>
    <w:p>
      <w:pPr>
        <w:spacing w:after="20"/>
      </w:pPr>
    </w:p>
    <w:p>
      <w:r>
        <w:rPr>
          <w:rFonts w:ascii="Aptos" w:hAnsi="Aptos"/>
          <w:b w:val="0"/>
          <w:i w:val="0"/>
          <w:color w:val="222222"/>
          <w:sz w:val="21"/>
        </w:rPr>
        <w:t>Composite regime score: 72/100.</w:t>
      </w:r>
    </w:p>
    <w:p>
      <w:pPr>
        <w:pStyle w:val="Heading1"/>
      </w:pPr>
      <w:r>
        <w:t>Final Assessment</w:t>
      </w:r>
    </w:p>
    <w:p>
      <w:pPr>
        <w:pStyle w:val="Heading2"/>
      </w:pPr>
      <w:r>
        <w:t>1. Is the financial sector confirming the bull market?</w:t>
      </w:r>
    </w:p>
    <w:p>
      <w:r>
        <w:rPr>
          <w:rFonts w:ascii="Aptos" w:hAnsi="Aptos"/>
          <w:b w:val="0"/>
          <w:i w:val="0"/>
          <w:color w:val="222222"/>
          <w:sz w:val="21"/>
        </w:rPr>
        <w:t>Yes. Loan growth, earnings, capital-markets activity, NII and regional-bank participation all confirm continued expansion. Credit spreads agree, although tight valuations reduce their forward-looking value.</w:t>
      </w:r>
    </w:p>
    <w:p>
      <w:pPr>
        <w:pStyle w:val="Heading2"/>
      </w:pPr>
      <w:r>
        <w:t>2. Healthy expansion or late-cycle excess?</w:t>
      </w:r>
    </w:p>
    <w:p>
      <w:r>
        <w:rPr>
          <w:rFonts w:ascii="Aptos" w:hAnsi="Aptos"/>
          <w:b w:val="0"/>
          <w:i w:val="0"/>
          <w:color w:val="222222"/>
          <w:sz w:val="21"/>
        </w:rPr>
        <w:t>A healthy but mature expansion with pockets of late-cycle pricing excess. The banking system is not showing recessionary balance-sheet contraction, but HY and some equities assume very few accidents.</w:t>
      </w:r>
    </w:p>
    <w:p>
      <w:pPr>
        <w:pStyle w:val="Heading2"/>
      </w:pPr>
      <w:r>
        <w:t>3. What would change the view?</w:t>
      </w:r>
    </w:p>
    <w:p>
      <w:r>
        <w:rPr>
          <w:rFonts w:ascii="Aptos" w:hAnsi="Aptos"/>
          <w:b w:val="0"/>
          <w:i w:val="0"/>
          <w:color w:val="222222"/>
          <w:sz w:val="21"/>
        </w:rPr>
        <w:t>A move to neutral would follow if C&amp;I growth fell below 2%, net SLOOS tightening exceeded 20%, HY OAS held above 400 bp, credit losses accelerated broadly, regional banks underperformed during curve steepening, or CRE losses began eroding regulatory capital.</w:t>
      </w:r>
    </w:p>
    <w:p>
      <w:pPr>
        <w:pStyle w:val="Heading2"/>
      </w:pPr>
      <w:r>
        <w:t>4. What deserves closest monitoring?</w:t>
      </w:r>
    </w:p>
    <w:p>
      <w:r>
        <w:rPr>
          <w:rFonts w:ascii="Aptos" w:hAnsi="Aptos"/>
          <w:b w:val="0"/>
          <w:i w:val="0"/>
          <w:color w:val="222222"/>
          <w:sz w:val="21"/>
        </w:rPr>
        <w:t>SLOOS C&amp;I standards and demand; weekly C&amp;I growth; HY and CCC OAS; regional-bank relative performance; office/multifamily maturity defaults; consumer delinquencies; and the source of curve steepening.</w:t>
      </w:r>
    </w:p>
    <w:p>
      <w:pPr>
        <w:pStyle w:val="Heading2"/>
      </w:pPr>
      <w:r>
        <w:t>5. How would a global multi-asset portfolio be positioned?</w:t>
      </w:r>
    </w:p>
    <w:p>
      <w:r>
        <w:rPr>
          <w:rFonts w:ascii="Aptos" w:hAnsi="Aptos"/>
          <w:b w:val="0"/>
          <w:i w:val="0"/>
          <w:color w:val="222222"/>
          <w:sz w:val="21"/>
        </w:rPr>
        <w:t>Moderately pro-risk with quality ballast: overweight diversified banks, insurers, exchanges, Japanese financials, profitable small caps and gold; hold short/intermediate IG; underweight broad HY, highly leveraged regionals and long-duration government bonds.</w:t>
      </w:r>
    </w:p>
    <w:p>
      <w:r>
        <w:br w:type="page"/>
      </w:r>
    </w:p>
    <w:p>
      <w:pPr>
        <w:pStyle w:val="Heading1"/>
      </w:pPr>
      <w:r>
        <w:t>Sources</w:t>
      </w:r>
    </w:p>
    <w:p>
      <w:pPr>
        <w:pStyle w:val="ListBullet"/>
        <w:spacing w:after="40" w:line="240" w:lineRule="auto"/>
      </w:pPr>
      <w:hyperlink r:id="rId11">
        <w:r>
          <w:rPr>
            <w:color w:val="1F4E79"/>
            <w:u w:val="single"/>
            <w:sz w:val="16"/>
            <w:szCs w:val="16"/>
          </w:rPr>
          <w:t>US Treasury — Daily Treasury Par Yield Curve Rates</w:t>
        </w:r>
      </w:hyperlink>
    </w:p>
    <w:p>
      <w:pPr>
        <w:pStyle w:val="ListBullet"/>
        <w:spacing w:after="40" w:line="240" w:lineRule="auto"/>
      </w:pPr>
      <w:hyperlink r:id="rId12">
        <w:r>
          <w:rPr>
            <w:color w:val="1F4E79"/>
            <w:u w:val="single"/>
            <w:sz w:val="16"/>
            <w:szCs w:val="16"/>
          </w:rPr>
          <w:t>Federal Reserve — April 2026 SLOOS</w:t>
        </w:r>
      </w:hyperlink>
    </w:p>
    <w:p>
      <w:pPr>
        <w:pStyle w:val="ListBullet"/>
        <w:spacing w:after="40" w:line="240" w:lineRule="auto"/>
      </w:pPr>
      <w:hyperlink r:id="rId13">
        <w:r>
          <w:rPr>
            <w:color w:val="1F4E79"/>
            <w:u w:val="single"/>
            <w:sz w:val="16"/>
            <w:szCs w:val="16"/>
          </w:rPr>
          <w:t>Federal Reserve/FRED — C&amp;I loans</w:t>
        </w:r>
      </w:hyperlink>
    </w:p>
    <w:p>
      <w:pPr>
        <w:pStyle w:val="ListBullet"/>
        <w:spacing w:after="40" w:line="240" w:lineRule="auto"/>
      </w:pPr>
      <w:hyperlink r:id="rId14">
        <w:r>
          <w:rPr>
            <w:color w:val="1F4E79"/>
            <w:u w:val="single"/>
            <w:sz w:val="16"/>
            <w:szCs w:val="16"/>
          </w:rPr>
          <w:t>FDIC — Q1 2026 Quarterly Banking Profile</w:t>
        </w:r>
      </w:hyperlink>
    </w:p>
    <w:p>
      <w:pPr>
        <w:pStyle w:val="ListBullet"/>
        <w:spacing w:after="40" w:line="240" w:lineRule="auto"/>
      </w:pPr>
      <w:hyperlink r:id="rId15">
        <w:r>
          <w:rPr>
            <w:color w:val="1F4E79"/>
            <w:u w:val="single"/>
            <w:sz w:val="16"/>
            <w:szCs w:val="16"/>
          </w:rPr>
          <w:t>Moody’s — Credit outlooks</w:t>
        </w:r>
      </w:hyperlink>
    </w:p>
    <w:p>
      <w:pPr>
        <w:pStyle w:val="ListBullet"/>
        <w:spacing w:after="40" w:line="240" w:lineRule="auto"/>
      </w:pPr>
      <w:hyperlink r:id="rId16">
        <w:r>
          <w:rPr>
            <w:color w:val="1F4E79"/>
            <w:u w:val="single"/>
            <w:sz w:val="16"/>
            <w:szCs w:val="16"/>
          </w:rPr>
          <w:t>Trepp/Commercial Property Executive — CMBS delinquency</w:t>
        </w:r>
      </w:hyperlink>
    </w:p>
    <w:p>
      <w:pPr>
        <w:pStyle w:val="ListBullet"/>
        <w:spacing w:after="40" w:line="240" w:lineRule="auto"/>
      </w:pPr>
      <w:hyperlink r:id="rId17">
        <w:r>
          <w:rPr>
            <w:color w:val="1F4E79"/>
            <w:u w:val="single"/>
            <w:sz w:val="16"/>
            <w:szCs w:val="16"/>
          </w:rPr>
          <w:t>JPMorgan — Q2 2026 earnings filing</w:t>
        </w:r>
      </w:hyperlink>
    </w:p>
    <w:p>
      <w:pPr>
        <w:pStyle w:val="ListBullet"/>
        <w:spacing w:after="40" w:line="240" w:lineRule="auto"/>
      </w:pPr>
      <w:hyperlink r:id="rId18">
        <w:r>
          <w:rPr>
            <w:color w:val="1F4E79"/>
            <w:u w:val="single"/>
            <w:sz w:val="16"/>
            <w:szCs w:val="16"/>
          </w:rPr>
          <w:t>Bank of America — Q2 2026 results</w:t>
        </w:r>
      </w:hyperlink>
    </w:p>
    <w:p>
      <w:pPr>
        <w:pStyle w:val="ListBullet"/>
        <w:spacing w:after="40" w:line="240" w:lineRule="auto"/>
      </w:pPr>
      <w:hyperlink r:id="rId19">
        <w:r>
          <w:rPr>
            <w:color w:val="1F4E79"/>
            <w:u w:val="single"/>
            <w:sz w:val="16"/>
            <w:szCs w:val="16"/>
          </w:rPr>
          <w:t>Goldman Sachs — Q2 2026 results</w:t>
        </w:r>
      </w:hyperlink>
    </w:p>
    <w:p>
      <w:pPr>
        <w:pStyle w:val="ListBullet"/>
        <w:spacing w:after="40" w:line="240" w:lineRule="auto"/>
      </w:pPr>
      <w:hyperlink r:id="rId20">
        <w:r>
          <w:rPr>
            <w:color w:val="1F4E79"/>
            <w:u w:val="single"/>
            <w:sz w:val="16"/>
            <w:szCs w:val="16"/>
          </w:rPr>
          <w:t>Morgan Stanley — Q2 2026 results</w:t>
        </w:r>
      </w:hyperlink>
    </w:p>
    <w:p>
      <w:pPr>
        <w:pStyle w:val="ListBullet"/>
        <w:spacing w:after="40" w:line="240" w:lineRule="auto"/>
      </w:pPr>
      <w:hyperlink r:id="rId21">
        <w:r>
          <w:rPr>
            <w:color w:val="1F4E79"/>
            <w:u w:val="single"/>
            <w:sz w:val="16"/>
            <w:szCs w:val="16"/>
          </w:rPr>
          <w:t>Wells Fargo — Q2 2026 results</w:t>
        </w:r>
      </w:hyperlink>
    </w:p>
    <w:p>
      <w:pPr>
        <w:pStyle w:val="ListBullet"/>
        <w:spacing w:after="40" w:line="240" w:lineRule="auto"/>
      </w:pPr>
      <w:hyperlink r:id="rId22">
        <w:r>
          <w:rPr>
            <w:color w:val="1F4E79"/>
            <w:u w:val="single"/>
            <w:sz w:val="16"/>
            <w:szCs w:val="16"/>
          </w:rPr>
          <w:t>Citigroup — Q2 2026 results</w:t>
        </w:r>
      </w:hyperlink>
    </w:p>
    <w:p>
      <w:r>
        <w:rPr>
          <w:rFonts w:ascii="Aptos" w:hAnsi="Aptos"/>
          <w:b w:val="0"/>
          <w:i w:val="0"/>
          <w:color w:val="222222"/>
          <w:sz w:val="21"/>
        </w:rPr>
        <w:t>Important: This report is market analysis, not individualized investment advice. Probabilities, scores and portfolio views are judgment-based and may change as new data arrive.</w:t>
      </w:r>
    </w:p>
    <w:sectPr w:rsidR="00FC693F" w:rsidRPr="0006063C" w:rsidSect="00034616">
      <w:headerReference w:type="default" r:id="rId9"/>
      <w:footerReference w:type="default" r:id="rId10"/>
      <w:pgSz w:w="12240" w:h="15840"/>
      <w:pgMar w:top="1181" w:right="1224" w:bottom="1181" w:left="1224"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b w:val="0"/>
        <w:i w:val="0"/>
        <w:color w:val="5E6A73"/>
        <w:sz w:val="16"/>
      </w:rPr>
      <w:t>Financials Regime Monitor  •  Data cut-off 14 August 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b/>
        <w:i w:val="0"/>
        <w:color w:val="5E6A73"/>
        <w:sz w:val="16"/>
      </w:rPr>
      <w:t>GLOBAL MACRO STRATEGY  |  AUGUST 2026</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4" w:lineRule="auto"/>
    </w:pPr>
    <w:rPr>
      <w:rFonts w:ascii="Aptos" w:hAnsi="Aptos"/>
      <w:color w:val="222222"/>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1F4E79"/>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Aptos Display" w:hAnsi="Aptos Display"/>
      <w:b/>
      <w:bCs/>
      <w:color w:val="1F4E79"/>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Aptos Display" w:hAnsi="Aptos Display"/>
      <w:b/>
      <w:bCs/>
      <w:color w:val="18324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Aptos Display" w:hAnsi="Aptos Display"/>
      <w:b w:val="0"/>
      <w:color w:val="18324A"/>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40"/>
    </w:pPr>
    <w:rPr>
      <w:rFonts w:asciiTheme="majorHAnsi" w:eastAsiaTheme="majorEastAsia" w:hAnsiTheme="majorHAnsi" w:cstheme="majorBidi" w:ascii="Aptos Display" w:hAnsi="Aptos Display"/>
      <w:b w:val="0"/>
      <w:i/>
      <w:iCs/>
      <w:color w:val="5E6A73"/>
      <w:spacing w:val="15"/>
      <w:sz w:val="28"/>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64" w:lineRule="auto"/>
      <w:ind w:left="461" w:hanging="259"/>
      <w:contextualSpacing/>
    </w:pPr>
    <w:rPr>
      <w:rFonts w:ascii="Aptos" w:hAnsi="Aptos"/>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264" w:lineRule="auto"/>
      <w:ind w:left="461" w:hanging="259"/>
      <w:contextualSpacing/>
    </w:pPr>
    <w:rPr>
      <w:rFonts w:ascii="Aptos" w:hAnsi="Aptos"/>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home.treasury.gov/resource-center/data-chart-center/interest-rates/TextView?field_tdr_date_value=2026&amp;type=daily_treasury_yield_curve" TargetMode="External"/><Relationship Id="rId12" Type="http://schemas.openxmlformats.org/officeDocument/2006/relationships/hyperlink" Target="https://www.federalreserve.gov/data/sloos/sloos-202604.htm" TargetMode="External"/><Relationship Id="rId13" Type="http://schemas.openxmlformats.org/officeDocument/2006/relationships/hyperlink" Target="https://fredaccount.stlouisfed.org/public/dashboard/43800" TargetMode="External"/><Relationship Id="rId14" Type="http://schemas.openxmlformats.org/officeDocument/2006/relationships/hyperlink" Target="https://www.fdic.gov/quarterly-banking-profile/quarterly-banking-profile-first-quarter-2026.pdf" TargetMode="External"/><Relationship Id="rId15" Type="http://schemas.openxmlformats.org/officeDocument/2006/relationships/hyperlink" Target="https://www.moodys.com/web/en/us/insights/credit-risk/outlooks.html" TargetMode="External"/><Relationship Id="rId16" Type="http://schemas.openxmlformats.org/officeDocument/2006/relationships/hyperlink" Target="https://www.commercialsearch.com/news/cmbs-delinquency-rates/" TargetMode="External"/><Relationship Id="rId17" Type="http://schemas.openxmlformats.org/officeDocument/2006/relationships/hyperlink" Target="https://www.sec.gov/Archives/edgar/data/19617/000162828026048078/a2q26erfexhibit991narrative.htm" TargetMode="External"/><Relationship Id="rId18" Type="http://schemas.openxmlformats.org/officeDocument/2006/relationships/hyperlink" Target="https://investor.bankofamerica.com/regulatory-and-other-filings/select-sec-filings/content/0000070858-26-000353/bac06302026ex991.htm" TargetMode="External"/><Relationship Id="rId19" Type="http://schemas.openxmlformats.org/officeDocument/2006/relationships/hyperlink" Target="https://www.sec.gov/Archives/edgar/data/886982/000088698226000294/a2q26gsearningsresults.htm" TargetMode="External"/><Relationship Id="rId20" Type="http://schemas.openxmlformats.org/officeDocument/2006/relationships/hyperlink" Target="https://www.morganstanley.com/content/dam/msdotcom/en/about-us-ir/shareholder/2q2026.pdf" TargetMode="External"/><Relationship Id="rId21" Type="http://schemas.openxmlformats.org/officeDocument/2006/relationships/hyperlink" Target="https://www.sec.gov/Archives/edgar/data/72971/000007297126000288/wfc2qer07-14x26ex991xrelea.htm" TargetMode="External"/><Relationship Id="rId22" Type="http://schemas.openxmlformats.org/officeDocument/2006/relationships/hyperlink" Target="https://www.sec.gov/Archives/edgar/data/831001/000110465926083383/c-20260714xex99d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